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B0CA5F" w14:textId="1E408D49" w:rsidR="00ED1711" w:rsidRPr="00F10141" w:rsidRDefault="004222C5"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bookmarkStart w:id="0" w:name="_GoBack"/>
      <w:bookmarkEnd w:id="0"/>
      <w:r w:rsidRPr="00F10141">
        <w:rPr>
          <w:rFonts w:ascii="Times New Roman" w:hAnsi="Times New Roman" w:cs="Times New Roman"/>
          <w:b/>
          <w:sz w:val="28"/>
          <w:szCs w:val="28"/>
        </w:rPr>
        <w:t xml:space="preserve">ОСНОВНЫЕ </w:t>
      </w:r>
      <w:r w:rsidR="00ED1711" w:rsidRPr="00F10141">
        <w:rPr>
          <w:rFonts w:ascii="Times New Roman" w:hAnsi="Times New Roman" w:cs="Times New Roman"/>
          <w:b/>
          <w:sz w:val="28"/>
          <w:szCs w:val="28"/>
        </w:rPr>
        <w:t xml:space="preserve">МЕРЫ ПРАВИТЕЛЬСТВА РОССИИ </w:t>
      </w:r>
    </w:p>
    <w:p w14:paraId="1350876A" w14:textId="77777777" w:rsidR="00FA773C" w:rsidRPr="00F10141" w:rsidRDefault="00FA773C"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r w:rsidRPr="00F10141">
        <w:rPr>
          <w:rFonts w:ascii="Times New Roman" w:hAnsi="Times New Roman" w:cs="Times New Roman"/>
          <w:b/>
          <w:sz w:val="28"/>
          <w:szCs w:val="28"/>
        </w:rPr>
        <w:t>ПО ПОВЫШЕНИЮ УСТОЙЧИВОСТИ РАЗВИТИЯ</w:t>
      </w:r>
    </w:p>
    <w:p w14:paraId="1367AC60" w14:textId="77777777" w:rsidR="00FA773C" w:rsidRPr="00F10141" w:rsidRDefault="00FA773C" w:rsidP="006F24B7">
      <w:pPr>
        <w:pBdr>
          <w:top w:val="single" w:sz="4" w:space="1" w:color="auto"/>
          <w:bottom w:val="single" w:sz="4" w:space="1" w:color="auto"/>
        </w:pBdr>
        <w:spacing w:line="276" w:lineRule="auto"/>
        <w:ind w:firstLine="567"/>
        <w:contextualSpacing/>
        <w:jc w:val="center"/>
        <w:rPr>
          <w:rFonts w:ascii="Times New Roman" w:hAnsi="Times New Roman" w:cs="Times New Roman"/>
          <w:b/>
          <w:sz w:val="28"/>
          <w:szCs w:val="28"/>
        </w:rPr>
      </w:pPr>
      <w:r w:rsidRPr="00F10141">
        <w:rPr>
          <w:rFonts w:ascii="Times New Roman" w:hAnsi="Times New Roman" w:cs="Times New Roman"/>
          <w:b/>
          <w:sz w:val="28"/>
          <w:szCs w:val="28"/>
        </w:rPr>
        <w:t>РОССИЙСКОЙ ЭКОНОМИКИ В УСЛОВИЯХ САНКЦИЙ</w:t>
      </w:r>
    </w:p>
    <w:p w14:paraId="5E4511B5" w14:textId="77777777" w:rsidR="004C38AE" w:rsidRPr="00F10141" w:rsidRDefault="004C38AE" w:rsidP="006F24B7">
      <w:pPr>
        <w:spacing w:line="276" w:lineRule="auto"/>
        <w:ind w:firstLine="567"/>
        <w:contextualSpacing/>
        <w:jc w:val="right"/>
        <w:rPr>
          <w:rFonts w:ascii="Times New Roman" w:hAnsi="Times New Roman" w:cs="Times New Roman"/>
          <w:b/>
          <w:sz w:val="24"/>
          <w:szCs w:val="24"/>
        </w:rPr>
      </w:pPr>
    </w:p>
    <w:p w14:paraId="2C0E9975" w14:textId="22937D89" w:rsidR="006F24B7" w:rsidRDefault="006F24B7" w:rsidP="006F24B7">
      <w:pPr>
        <w:spacing w:line="276" w:lineRule="auto"/>
        <w:ind w:firstLine="567"/>
        <w:contextualSpacing/>
        <w:jc w:val="right"/>
        <w:rPr>
          <w:rFonts w:ascii="Times New Roman" w:hAnsi="Times New Roman" w:cs="Times New Roman"/>
          <w:b/>
          <w:sz w:val="24"/>
          <w:szCs w:val="24"/>
        </w:rPr>
      </w:pPr>
      <w:r w:rsidRPr="00004710">
        <w:rPr>
          <w:rFonts w:ascii="Times New Roman" w:hAnsi="Times New Roman" w:cs="Times New Roman"/>
          <w:b/>
          <w:sz w:val="24"/>
          <w:szCs w:val="24"/>
          <w:highlight w:val="cyan"/>
        </w:rPr>
        <w:t xml:space="preserve">на </w:t>
      </w:r>
      <w:r w:rsidR="004C777D">
        <w:rPr>
          <w:rFonts w:ascii="Times New Roman" w:hAnsi="Times New Roman" w:cs="Times New Roman"/>
          <w:b/>
          <w:sz w:val="24"/>
          <w:szCs w:val="24"/>
          <w:highlight w:val="cyan"/>
        </w:rPr>
        <w:t>30.09.</w:t>
      </w:r>
      <w:r w:rsidR="00DE6481" w:rsidRPr="00004710">
        <w:rPr>
          <w:rFonts w:ascii="Times New Roman" w:hAnsi="Times New Roman" w:cs="Times New Roman"/>
          <w:b/>
          <w:sz w:val="24"/>
          <w:szCs w:val="24"/>
          <w:highlight w:val="cyan"/>
        </w:rPr>
        <w:t>202</w:t>
      </w:r>
      <w:r w:rsidR="00DB1684" w:rsidRPr="00004710">
        <w:rPr>
          <w:rFonts w:ascii="Times New Roman" w:hAnsi="Times New Roman" w:cs="Times New Roman"/>
          <w:b/>
          <w:sz w:val="24"/>
          <w:szCs w:val="24"/>
          <w:highlight w:val="cyan"/>
        </w:rPr>
        <w:t>4</w:t>
      </w:r>
      <w:r w:rsidR="00DE73B2" w:rsidRPr="00004710">
        <w:rPr>
          <w:rStyle w:val="af5"/>
          <w:rFonts w:ascii="Times New Roman" w:hAnsi="Times New Roman" w:cs="Times New Roman"/>
          <w:b/>
          <w:sz w:val="24"/>
          <w:szCs w:val="24"/>
          <w:highlight w:val="cyan"/>
        </w:rPr>
        <w:footnoteReference w:id="1"/>
      </w:r>
    </w:p>
    <w:p w14:paraId="7A2FA00D" w14:textId="77777777" w:rsidR="000104C7" w:rsidRDefault="000104C7" w:rsidP="00D9041F">
      <w:pPr>
        <w:autoSpaceDE w:val="0"/>
        <w:autoSpaceDN w:val="0"/>
        <w:adjustRightInd w:val="0"/>
        <w:spacing w:after="0" w:line="240" w:lineRule="auto"/>
        <w:jc w:val="both"/>
        <w:rPr>
          <w:rFonts w:ascii="Times New Roman" w:hAnsi="Times New Roman" w:cs="Times New Roman"/>
          <w:sz w:val="24"/>
          <w:szCs w:val="24"/>
          <w:highlight w:val="green"/>
        </w:rPr>
      </w:pPr>
    </w:p>
    <w:p w14:paraId="76D2057F" w14:textId="77777777" w:rsidR="00D9041F" w:rsidRPr="00B86BA9" w:rsidRDefault="00D9041F" w:rsidP="006F24B7">
      <w:pPr>
        <w:spacing w:line="276" w:lineRule="auto"/>
        <w:ind w:firstLine="567"/>
        <w:contextualSpacing/>
        <w:jc w:val="right"/>
        <w:rPr>
          <w:rFonts w:ascii="Times New Roman" w:hAnsi="Times New Roman" w:cs="Times New Roman"/>
          <w:b/>
          <w:sz w:val="24"/>
          <w:szCs w:val="24"/>
        </w:rPr>
      </w:pPr>
    </w:p>
    <w:p w14:paraId="72B4EE40"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2225024A" w14:textId="77777777" w:rsidR="001F5D02" w:rsidRPr="00F10141" w:rsidRDefault="001F5D02" w:rsidP="00E211DF">
      <w:pPr>
        <w:spacing w:line="276" w:lineRule="auto"/>
        <w:ind w:firstLine="567"/>
        <w:contextualSpacing/>
        <w:rPr>
          <w:rFonts w:ascii="Times New Roman" w:hAnsi="Times New Roman" w:cs="Times New Roman"/>
          <w:b/>
          <w:sz w:val="24"/>
          <w:szCs w:val="24"/>
        </w:rPr>
      </w:pPr>
    </w:p>
    <w:sdt>
      <w:sdtPr>
        <w:rPr>
          <w:rFonts w:ascii="Times New Roman" w:eastAsiaTheme="minorHAnsi" w:hAnsi="Times New Roman" w:cs="Times New Roman"/>
          <w:color w:val="auto"/>
          <w:sz w:val="22"/>
          <w:szCs w:val="22"/>
          <w:lang w:eastAsia="en-US"/>
        </w:rPr>
        <w:id w:val="-1940441869"/>
        <w:docPartObj>
          <w:docPartGallery w:val="Table of Contents"/>
          <w:docPartUnique/>
        </w:docPartObj>
      </w:sdtPr>
      <w:sdtEndPr>
        <w:rPr>
          <w:b/>
          <w:bCs/>
        </w:rPr>
      </w:sdtEndPr>
      <w:sdtContent>
        <w:p w14:paraId="1D02D614" w14:textId="73C0A1A5" w:rsidR="0078505E" w:rsidRPr="00F10141" w:rsidRDefault="0078505E" w:rsidP="0078505E">
          <w:pPr>
            <w:pStyle w:val="af2"/>
            <w:jc w:val="center"/>
            <w:rPr>
              <w:rFonts w:ascii="Times New Roman" w:hAnsi="Times New Roman" w:cs="Times New Roman"/>
              <w:b/>
              <w:bCs/>
              <w:color w:val="auto"/>
              <w:sz w:val="24"/>
              <w:szCs w:val="24"/>
            </w:rPr>
          </w:pPr>
          <w:r w:rsidRPr="00F10141">
            <w:rPr>
              <w:rFonts w:ascii="Times New Roman" w:hAnsi="Times New Roman" w:cs="Times New Roman"/>
              <w:b/>
              <w:bCs/>
              <w:color w:val="auto"/>
              <w:sz w:val="24"/>
              <w:szCs w:val="24"/>
            </w:rPr>
            <w:t>Оглавление</w:t>
          </w:r>
        </w:p>
        <w:p w14:paraId="6544BD38" w14:textId="77777777" w:rsidR="00560778" w:rsidRPr="00F10141" w:rsidRDefault="00560778" w:rsidP="00560778">
          <w:pPr>
            <w:rPr>
              <w:rFonts w:ascii="Times New Roman" w:hAnsi="Times New Roman" w:cs="Times New Roman"/>
              <w:lang w:eastAsia="ru-RU"/>
            </w:rPr>
          </w:pPr>
        </w:p>
        <w:p w14:paraId="4D203494" w14:textId="77777777" w:rsidR="00913080" w:rsidRDefault="0078505E">
          <w:pPr>
            <w:pStyle w:val="11"/>
            <w:rPr>
              <w:rFonts w:cstheme="minorBidi"/>
              <w:noProof/>
            </w:rPr>
          </w:pPr>
          <w:r w:rsidRPr="00270885">
            <w:rPr>
              <w:sz w:val="24"/>
              <w:szCs w:val="24"/>
            </w:rPr>
            <w:fldChar w:fldCharType="begin"/>
          </w:r>
          <w:r w:rsidRPr="00270885">
            <w:rPr>
              <w:sz w:val="24"/>
              <w:szCs w:val="24"/>
            </w:rPr>
            <w:instrText xml:space="preserve"> TOC \o "1-3" \h \z \u </w:instrText>
          </w:r>
          <w:r w:rsidRPr="00270885">
            <w:rPr>
              <w:sz w:val="24"/>
              <w:szCs w:val="24"/>
            </w:rPr>
            <w:fldChar w:fldCharType="separate"/>
          </w:r>
          <w:hyperlink w:anchor="_Toc178606966" w:history="1">
            <w:r w:rsidR="00913080" w:rsidRPr="00913080">
              <w:rPr>
                <w:rStyle w:val="a4"/>
                <w:rFonts w:ascii="Times New Roman" w:hAnsi="Times New Roman"/>
                <w:b/>
                <w:noProof/>
                <w:highlight w:val="cyan"/>
              </w:rPr>
              <w:t>ВРЕЗКА. ТЕХНОЛОГИЧЕСКИЙ СУВЕРЕНИТЕТ</w:t>
            </w:r>
            <w:r w:rsidR="00913080" w:rsidRPr="00913080">
              <w:rPr>
                <w:noProof/>
                <w:webHidden/>
                <w:highlight w:val="cyan"/>
              </w:rPr>
              <w:tab/>
            </w:r>
            <w:r w:rsidR="00913080" w:rsidRPr="00913080">
              <w:rPr>
                <w:noProof/>
                <w:webHidden/>
                <w:highlight w:val="cyan"/>
              </w:rPr>
              <w:fldChar w:fldCharType="begin"/>
            </w:r>
            <w:r w:rsidR="00913080" w:rsidRPr="00913080">
              <w:rPr>
                <w:noProof/>
                <w:webHidden/>
                <w:highlight w:val="cyan"/>
              </w:rPr>
              <w:instrText xml:space="preserve"> PAGEREF _Toc178606966 \h </w:instrText>
            </w:r>
            <w:r w:rsidR="00913080" w:rsidRPr="00913080">
              <w:rPr>
                <w:noProof/>
                <w:webHidden/>
                <w:highlight w:val="cyan"/>
              </w:rPr>
            </w:r>
            <w:r w:rsidR="00913080" w:rsidRPr="00913080">
              <w:rPr>
                <w:noProof/>
                <w:webHidden/>
                <w:highlight w:val="cyan"/>
              </w:rPr>
              <w:fldChar w:fldCharType="separate"/>
            </w:r>
            <w:r w:rsidR="00913080" w:rsidRPr="00913080">
              <w:rPr>
                <w:noProof/>
                <w:webHidden/>
                <w:highlight w:val="cyan"/>
              </w:rPr>
              <w:t>2</w:t>
            </w:r>
            <w:r w:rsidR="00913080" w:rsidRPr="00913080">
              <w:rPr>
                <w:noProof/>
                <w:webHidden/>
                <w:highlight w:val="cyan"/>
              </w:rPr>
              <w:fldChar w:fldCharType="end"/>
            </w:r>
          </w:hyperlink>
        </w:p>
        <w:p w14:paraId="678DE36F" w14:textId="77777777" w:rsidR="00913080" w:rsidRDefault="00344645">
          <w:pPr>
            <w:pStyle w:val="11"/>
            <w:rPr>
              <w:rFonts w:cstheme="minorBidi"/>
              <w:noProof/>
            </w:rPr>
          </w:pPr>
          <w:hyperlink w:anchor="_Toc178606967" w:history="1">
            <w:r w:rsidR="00913080" w:rsidRPr="00913080">
              <w:rPr>
                <w:rStyle w:val="a4"/>
                <w:rFonts w:ascii="Times New Roman" w:hAnsi="Times New Roman"/>
                <w:b/>
                <w:noProof/>
                <w:highlight w:val="cyan"/>
              </w:rPr>
              <w:t>АНОНС МЕР</w:t>
            </w:r>
            <w:r w:rsidR="00913080" w:rsidRPr="00913080">
              <w:rPr>
                <w:noProof/>
                <w:webHidden/>
                <w:highlight w:val="cyan"/>
              </w:rPr>
              <w:tab/>
            </w:r>
            <w:r w:rsidR="00913080" w:rsidRPr="00913080">
              <w:rPr>
                <w:noProof/>
                <w:webHidden/>
                <w:highlight w:val="cyan"/>
              </w:rPr>
              <w:fldChar w:fldCharType="begin"/>
            </w:r>
            <w:r w:rsidR="00913080" w:rsidRPr="00913080">
              <w:rPr>
                <w:noProof/>
                <w:webHidden/>
                <w:highlight w:val="cyan"/>
              </w:rPr>
              <w:instrText xml:space="preserve"> PAGEREF _Toc178606967 \h </w:instrText>
            </w:r>
            <w:r w:rsidR="00913080" w:rsidRPr="00913080">
              <w:rPr>
                <w:noProof/>
                <w:webHidden/>
                <w:highlight w:val="cyan"/>
              </w:rPr>
            </w:r>
            <w:r w:rsidR="00913080" w:rsidRPr="00913080">
              <w:rPr>
                <w:noProof/>
                <w:webHidden/>
                <w:highlight w:val="cyan"/>
              </w:rPr>
              <w:fldChar w:fldCharType="separate"/>
            </w:r>
            <w:r w:rsidR="00913080" w:rsidRPr="00913080">
              <w:rPr>
                <w:noProof/>
                <w:webHidden/>
                <w:highlight w:val="cyan"/>
              </w:rPr>
              <w:t>3</w:t>
            </w:r>
            <w:r w:rsidR="00913080" w:rsidRPr="00913080">
              <w:rPr>
                <w:noProof/>
                <w:webHidden/>
                <w:highlight w:val="cyan"/>
              </w:rPr>
              <w:fldChar w:fldCharType="end"/>
            </w:r>
          </w:hyperlink>
        </w:p>
        <w:p w14:paraId="495B1914" w14:textId="77777777" w:rsidR="00913080" w:rsidRDefault="00344645">
          <w:pPr>
            <w:pStyle w:val="11"/>
            <w:rPr>
              <w:rFonts w:cstheme="minorBidi"/>
              <w:noProof/>
            </w:rPr>
          </w:pPr>
          <w:hyperlink w:anchor="_Toc178606968" w:history="1">
            <w:r w:rsidR="00913080" w:rsidRPr="003B3F66">
              <w:rPr>
                <w:rStyle w:val="a4"/>
                <w:rFonts w:ascii="Times New Roman" w:hAnsi="Times New Roman"/>
                <w:b/>
                <w:noProof/>
              </w:rPr>
              <w:t>ОТДЕЛЬНЫЕ МЕРЫ ПО ОБЕСПЕЧЕНИЮ РАБОТЫ ЭКОНОМИКИ В УСЛОВИЯХ ЧАСТИЧНОЙ МОБИЛИЗАЦИИ</w:t>
            </w:r>
            <w:r w:rsidR="00913080">
              <w:rPr>
                <w:noProof/>
                <w:webHidden/>
              </w:rPr>
              <w:tab/>
            </w:r>
            <w:r w:rsidR="00913080">
              <w:rPr>
                <w:noProof/>
                <w:webHidden/>
              </w:rPr>
              <w:fldChar w:fldCharType="begin"/>
            </w:r>
            <w:r w:rsidR="00913080">
              <w:rPr>
                <w:noProof/>
                <w:webHidden/>
              </w:rPr>
              <w:instrText xml:space="preserve"> PAGEREF _Toc178606968 \h </w:instrText>
            </w:r>
            <w:r w:rsidR="00913080">
              <w:rPr>
                <w:noProof/>
                <w:webHidden/>
              </w:rPr>
            </w:r>
            <w:r w:rsidR="00913080">
              <w:rPr>
                <w:noProof/>
                <w:webHidden/>
              </w:rPr>
              <w:fldChar w:fldCharType="separate"/>
            </w:r>
            <w:r w:rsidR="00913080">
              <w:rPr>
                <w:noProof/>
                <w:webHidden/>
              </w:rPr>
              <w:t>5</w:t>
            </w:r>
            <w:r w:rsidR="00913080">
              <w:rPr>
                <w:noProof/>
                <w:webHidden/>
              </w:rPr>
              <w:fldChar w:fldCharType="end"/>
            </w:r>
          </w:hyperlink>
        </w:p>
        <w:p w14:paraId="46DDE27E" w14:textId="77777777" w:rsidR="00913080" w:rsidRDefault="00344645">
          <w:pPr>
            <w:pStyle w:val="11"/>
            <w:rPr>
              <w:rFonts w:cstheme="minorBidi"/>
              <w:noProof/>
            </w:rPr>
          </w:pPr>
          <w:hyperlink w:anchor="_Toc178606969" w:history="1">
            <w:r w:rsidR="00913080" w:rsidRPr="003B3F66">
              <w:rPr>
                <w:rStyle w:val="a4"/>
                <w:rFonts w:ascii="Times New Roman" w:hAnsi="Times New Roman"/>
                <w:b/>
                <w:noProof/>
              </w:rPr>
              <w:t>МЕРЫ ПРАВИТЕЛЬСТВА РОССИИ ПО ПОВЫШЕНИЮ УСТОЙЧИВОСТИ РАЗВИТИЯ ЭКОНОМИКИ В УСЛОВИЯХ САНКЦИЙ</w:t>
            </w:r>
            <w:r w:rsidR="00913080">
              <w:rPr>
                <w:noProof/>
                <w:webHidden/>
              </w:rPr>
              <w:tab/>
            </w:r>
            <w:r w:rsidR="00913080">
              <w:rPr>
                <w:noProof/>
                <w:webHidden/>
              </w:rPr>
              <w:fldChar w:fldCharType="begin"/>
            </w:r>
            <w:r w:rsidR="00913080">
              <w:rPr>
                <w:noProof/>
                <w:webHidden/>
              </w:rPr>
              <w:instrText xml:space="preserve"> PAGEREF _Toc178606969 \h </w:instrText>
            </w:r>
            <w:r w:rsidR="00913080">
              <w:rPr>
                <w:noProof/>
                <w:webHidden/>
              </w:rPr>
            </w:r>
            <w:r w:rsidR="00913080">
              <w:rPr>
                <w:noProof/>
                <w:webHidden/>
              </w:rPr>
              <w:fldChar w:fldCharType="separate"/>
            </w:r>
            <w:r w:rsidR="00913080">
              <w:rPr>
                <w:noProof/>
                <w:webHidden/>
              </w:rPr>
              <w:t>8</w:t>
            </w:r>
            <w:r w:rsidR="00913080">
              <w:rPr>
                <w:noProof/>
                <w:webHidden/>
              </w:rPr>
              <w:fldChar w:fldCharType="end"/>
            </w:r>
          </w:hyperlink>
        </w:p>
        <w:p w14:paraId="4946C787" w14:textId="77777777" w:rsidR="00913080" w:rsidRDefault="00344645">
          <w:pPr>
            <w:pStyle w:val="11"/>
            <w:rPr>
              <w:rFonts w:cstheme="minorBidi"/>
              <w:noProof/>
            </w:rPr>
          </w:pPr>
          <w:hyperlink w:anchor="_Toc178606970" w:history="1">
            <w:r w:rsidR="00913080" w:rsidRPr="003B3F66">
              <w:rPr>
                <w:rStyle w:val="a4"/>
                <w:rFonts w:ascii="Times New Roman" w:hAnsi="Times New Roman"/>
                <w:b/>
                <w:noProof/>
              </w:rPr>
              <w:t>ПОДДЕРЖКА СИСТЕМООБРАЗУЮЩИХ КОМПАНИЙ</w:t>
            </w:r>
            <w:r w:rsidR="00913080">
              <w:rPr>
                <w:noProof/>
                <w:webHidden/>
              </w:rPr>
              <w:tab/>
            </w:r>
            <w:r w:rsidR="00913080">
              <w:rPr>
                <w:noProof/>
                <w:webHidden/>
              </w:rPr>
              <w:fldChar w:fldCharType="begin"/>
            </w:r>
            <w:r w:rsidR="00913080">
              <w:rPr>
                <w:noProof/>
                <w:webHidden/>
              </w:rPr>
              <w:instrText xml:space="preserve"> PAGEREF _Toc178606970 \h </w:instrText>
            </w:r>
            <w:r w:rsidR="00913080">
              <w:rPr>
                <w:noProof/>
                <w:webHidden/>
              </w:rPr>
            </w:r>
            <w:r w:rsidR="00913080">
              <w:rPr>
                <w:noProof/>
                <w:webHidden/>
              </w:rPr>
              <w:fldChar w:fldCharType="separate"/>
            </w:r>
            <w:r w:rsidR="00913080">
              <w:rPr>
                <w:noProof/>
                <w:webHidden/>
              </w:rPr>
              <w:t>8</w:t>
            </w:r>
            <w:r w:rsidR="00913080">
              <w:rPr>
                <w:noProof/>
                <w:webHidden/>
              </w:rPr>
              <w:fldChar w:fldCharType="end"/>
            </w:r>
          </w:hyperlink>
        </w:p>
        <w:p w14:paraId="3B615205" w14:textId="77777777" w:rsidR="00913080" w:rsidRDefault="00344645">
          <w:pPr>
            <w:pStyle w:val="11"/>
            <w:rPr>
              <w:rFonts w:cstheme="minorBidi"/>
              <w:noProof/>
            </w:rPr>
          </w:pPr>
          <w:hyperlink w:anchor="_Toc178606971" w:history="1">
            <w:r w:rsidR="00913080" w:rsidRPr="003B3F66">
              <w:rPr>
                <w:rStyle w:val="a4"/>
                <w:rFonts w:ascii="Times New Roman" w:hAnsi="Times New Roman"/>
                <w:b/>
                <w:noProof/>
              </w:rPr>
              <w:t>ОТДЕЛЬНЫЕ СИСТЕМНЫЕ МЕРЫ</w:t>
            </w:r>
            <w:r w:rsidR="00913080">
              <w:rPr>
                <w:noProof/>
                <w:webHidden/>
              </w:rPr>
              <w:tab/>
            </w:r>
            <w:r w:rsidR="00913080">
              <w:rPr>
                <w:noProof/>
                <w:webHidden/>
              </w:rPr>
              <w:fldChar w:fldCharType="begin"/>
            </w:r>
            <w:r w:rsidR="00913080">
              <w:rPr>
                <w:noProof/>
                <w:webHidden/>
              </w:rPr>
              <w:instrText xml:space="preserve"> PAGEREF _Toc178606971 \h </w:instrText>
            </w:r>
            <w:r w:rsidR="00913080">
              <w:rPr>
                <w:noProof/>
                <w:webHidden/>
              </w:rPr>
            </w:r>
            <w:r w:rsidR="00913080">
              <w:rPr>
                <w:noProof/>
                <w:webHidden/>
              </w:rPr>
              <w:fldChar w:fldCharType="separate"/>
            </w:r>
            <w:r w:rsidR="00913080">
              <w:rPr>
                <w:noProof/>
                <w:webHidden/>
              </w:rPr>
              <w:t>9</w:t>
            </w:r>
            <w:r w:rsidR="00913080">
              <w:rPr>
                <w:noProof/>
                <w:webHidden/>
              </w:rPr>
              <w:fldChar w:fldCharType="end"/>
            </w:r>
          </w:hyperlink>
        </w:p>
        <w:p w14:paraId="1F946AB3" w14:textId="77777777" w:rsidR="00913080" w:rsidRDefault="00344645">
          <w:pPr>
            <w:pStyle w:val="11"/>
            <w:rPr>
              <w:rFonts w:cstheme="minorBidi"/>
              <w:noProof/>
            </w:rPr>
          </w:pPr>
          <w:hyperlink w:anchor="_Toc178606972" w:history="1">
            <w:r w:rsidR="00913080" w:rsidRPr="003B3F66">
              <w:rPr>
                <w:rStyle w:val="a4"/>
                <w:rFonts w:ascii="Times New Roman" w:hAnsi="Times New Roman"/>
                <w:b/>
                <w:noProof/>
              </w:rPr>
              <w:t>НАЛОГИ</w:t>
            </w:r>
            <w:r w:rsidR="00913080">
              <w:rPr>
                <w:noProof/>
                <w:webHidden/>
              </w:rPr>
              <w:tab/>
            </w:r>
            <w:r w:rsidR="00913080">
              <w:rPr>
                <w:noProof/>
                <w:webHidden/>
              </w:rPr>
              <w:fldChar w:fldCharType="begin"/>
            </w:r>
            <w:r w:rsidR="00913080">
              <w:rPr>
                <w:noProof/>
                <w:webHidden/>
              </w:rPr>
              <w:instrText xml:space="preserve"> PAGEREF _Toc178606972 \h </w:instrText>
            </w:r>
            <w:r w:rsidR="00913080">
              <w:rPr>
                <w:noProof/>
                <w:webHidden/>
              </w:rPr>
            </w:r>
            <w:r w:rsidR="00913080">
              <w:rPr>
                <w:noProof/>
                <w:webHidden/>
              </w:rPr>
              <w:fldChar w:fldCharType="separate"/>
            </w:r>
            <w:r w:rsidR="00913080">
              <w:rPr>
                <w:noProof/>
                <w:webHidden/>
              </w:rPr>
              <w:t>17</w:t>
            </w:r>
            <w:r w:rsidR="00913080">
              <w:rPr>
                <w:noProof/>
                <w:webHidden/>
              </w:rPr>
              <w:fldChar w:fldCharType="end"/>
            </w:r>
          </w:hyperlink>
        </w:p>
        <w:p w14:paraId="1BCE298D" w14:textId="77777777" w:rsidR="00913080" w:rsidRDefault="00344645">
          <w:pPr>
            <w:pStyle w:val="11"/>
            <w:rPr>
              <w:rFonts w:cstheme="minorBidi"/>
              <w:noProof/>
            </w:rPr>
          </w:pPr>
          <w:hyperlink w:anchor="_Toc178606973" w:history="1">
            <w:r w:rsidR="00913080" w:rsidRPr="003B3F66">
              <w:rPr>
                <w:rStyle w:val="a4"/>
                <w:rFonts w:ascii="Times New Roman" w:hAnsi="Times New Roman"/>
                <w:b/>
                <w:noProof/>
              </w:rPr>
              <w:t>ФИНАНСЫ</w:t>
            </w:r>
            <w:r w:rsidR="00913080">
              <w:rPr>
                <w:noProof/>
                <w:webHidden/>
              </w:rPr>
              <w:tab/>
            </w:r>
            <w:r w:rsidR="00913080">
              <w:rPr>
                <w:noProof/>
                <w:webHidden/>
              </w:rPr>
              <w:fldChar w:fldCharType="begin"/>
            </w:r>
            <w:r w:rsidR="00913080">
              <w:rPr>
                <w:noProof/>
                <w:webHidden/>
              </w:rPr>
              <w:instrText xml:space="preserve"> PAGEREF _Toc178606973 \h </w:instrText>
            </w:r>
            <w:r w:rsidR="00913080">
              <w:rPr>
                <w:noProof/>
                <w:webHidden/>
              </w:rPr>
            </w:r>
            <w:r w:rsidR="00913080">
              <w:rPr>
                <w:noProof/>
                <w:webHidden/>
              </w:rPr>
              <w:fldChar w:fldCharType="separate"/>
            </w:r>
            <w:r w:rsidR="00913080">
              <w:rPr>
                <w:noProof/>
                <w:webHidden/>
              </w:rPr>
              <w:t>20</w:t>
            </w:r>
            <w:r w:rsidR="00913080">
              <w:rPr>
                <w:noProof/>
                <w:webHidden/>
              </w:rPr>
              <w:fldChar w:fldCharType="end"/>
            </w:r>
          </w:hyperlink>
        </w:p>
        <w:p w14:paraId="4F1CB580" w14:textId="77777777" w:rsidR="00913080" w:rsidRDefault="00344645">
          <w:pPr>
            <w:pStyle w:val="11"/>
            <w:rPr>
              <w:rFonts w:cstheme="minorBidi"/>
              <w:noProof/>
            </w:rPr>
          </w:pPr>
          <w:hyperlink w:anchor="_Toc178606974" w:history="1">
            <w:r w:rsidR="00913080" w:rsidRPr="003B3F66">
              <w:rPr>
                <w:rStyle w:val="a4"/>
                <w:rFonts w:ascii="Times New Roman" w:hAnsi="Times New Roman"/>
                <w:b/>
                <w:noProof/>
              </w:rPr>
              <w:t>РЕГУЛИРОВАНИЕ</w:t>
            </w:r>
            <w:r w:rsidR="00913080">
              <w:rPr>
                <w:noProof/>
                <w:webHidden/>
              </w:rPr>
              <w:tab/>
            </w:r>
            <w:r w:rsidR="00913080">
              <w:rPr>
                <w:noProof/>
                <w:webHidden/>
              </w:rPr>
              <w:fldChar w:fldCharType="begin"/>
            </w:r>
            <w:r w:rsidR="00913080">
              <w:rPr>
                <w:noProof/>
                <w:webHidden/>
              </w:rPr>
              <w:instrText xml:space="preserve"> PAGEREF _Toc178606974 \h </w:instrText>
            </w:r>
            <w:r w:rsidR="00913080">
              <w:rPr>
                <w:noProof/>
                <w:webHidden/>
              </w:rPr>
            </w:r>
            <w:r w:rsidR="00913080">
              <w:rPr>
                <w:noProof/>
                <w:webHidden/>
              </w:rPr>
              <w:fldChar w:fldCharType="separate"/>
            </w:r>
            <w:r w:rsidR="00913080">
              <w:rPr>
                <w:noProof/>
                <w:webHidden/>
              </w:rPr>
              <w:t>34</w:t>
            </w:r>
            <w:r w:rsidR="00913080">
              <w:rPr>
                <w:noProof/>
                <w:webHidden/>
              </w:rPr>
              <w:fldChar w:fldCharType="end"/>
            </w:r>
          </w:hyperlink>
        </w:p>
        <w:p w14:paraId="1B6BE0F2" w14:textId="77777777" w:rsidR="00913080" w:rsidRDefault="00344645">
          <w:pPr>
            <w:pStyle w:val="11"/>
            <w:rPr>
              <w:rFonts w:cstheme="minorBidi"/>
              <w:noProof/>
            </w:rPr>
          </w:pPr>
          <w:hyperlink w:anchor="_Toc178606975" w:history="1">
            <w:r w:rsidR="00913080" w:rsidRPr="00913080">
              <w:rPr>
                <w:rStyle w:val="a4"/>
                <w:rFonts w:ascii="Times New Roman" w:hAnsi="Times New Roman"/>
                <w:b/>
                <w:noProof/>
                <w:highlight w:val="cyan"/>
              </w:rPr>
              <w:t>МЕРЫ БАНКА РОССИИ</w:t>
            </w:r>
            <w:r w:rsidR="00913080" w:rsidRPr="00913080">
              <w:rPr>
                <w:noProof/>
                <w:webHidden/>
                <w:highlight w:val="cyan"/>
              </w:rPr>
              <w:tab/>
            </w:r>
            <w:r w:rsidR="00913080" w:rsidRPr="00913080">
              <w:rPr>
                <w:noProof/>
                <w:webHidden/>
                <w:highlight w:val="cyan"/>
              </w:rPr>
              <w:fldChar w:fldCharType="begin"/>
            </w:r>
            <w:r w:rsidR="00913080" w:rsidRPr="00913080">
              <w:rPr>
                <w:noProof/>
                <w:webHidden/>
                <w:highlight w:val="cyan"/>
              </w:rPr>
              <w:instrText xml:space="preserve"> PAGEREF _Toc178606975 \h </w:instrText>
            </w:r>
            <w:r w:rsidR="00913080" w:rsidRPr="00913080">
              <w:rPr>
                <w:noProof/>
                <w:webHidden/>
                <w:highlight w:val="cyan"/>
              </w:rPr>
            </w:r>
            <w:r w:rsidR="00913080" w:rsidRPr="00913080">
              <w:rPr>
                <w:noProof/>
                <w:webHidden/>
                <w:highlight w:val="cyan"/>
              </w:rPr>
              <w:fldChar w:fldCharType="separate"/>
            </w:r>
            <w:r w:rsidR="00913080" w:rsidRPr="00913080">
              <w:rPr>
                <w:noProof/>
                <w:webHidden/>
                <w:highlight w:val="cyan"/>
              </w:rPr>
              <w:t>42</w:t>
            </w:r>
            <w:r w:rsidR="00913080" w:rsidRPr="00913080">
              <w:rPr>
                <w:noProof/>
                <w:webHidden/>
                <w:highlight w:val="cyan"/>
              </w:rPr>
              <w:fldChar w:fldCharType="end"/>
            </w:r>
          </w:hyperlink>
        </w:p>
        <w:p w14:paraId="10DB7D55" w14:textId="070D0704" w:rsidR="0078505E" w:rsidRPr="00F10141" w:rsidRDefault="0078505E">
          <w:pPr>
            <w:rPr>
              <w:rFonts w:ascii="Times New Roman" w:hAnsi="Times New Roman" w:cs="Times New Roman"/>
            </w:rPr>
          </w:pPr>
          <w:r w:rsidRPr="00270885">
            <w:rPr>
              <w:rFonts w:ascii="Times New Roman" w:hAnsi="Times New Roman" w:cs="Times New Roman"/>
              <w:b/>
              <w:bCs/>
              <w:sz w:val="24"/>
              <w:szCs w:val="24"/>
            </w:rPr>
            <w:fldChar w:fldCharType="end"/>
          </w:r>
        </w:p>
      </w:sdtContent>
    </w:sdt>
    <w:p w14:paraId="72175EDD"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059F4BAF"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4B2734BE"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3A1F3165"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59B6B766"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51A69760" w14:textId="77777777" w:rsidR="001F5D02" w:rsidRPr="00F10141" w:rsidRDefault="001F5D02" w:rsidP="006F24B7">
      <w:pPr>
        <w:spacing w:line="276" w:lineRule="auto"/>
        <w:ind w:firstLine="567"/>
        <w:contextualSpacing/>
        <w:jc w:val="right"/>
        <w:rPr>
          <w:rFonts w:ascii="Times New Roman" w:hAnsi="Times New Roman" w:cs="Times New Roman"/>
          <w:b/>
          <w:sz w:val="24"/>
          <w:szCs w:val="24"/>
        </w:rPr>
      </w:pPr>
    </w:p>
    <w:p w14:paraId="74A07D6C" w14:textId="4DA0E261" w:rsidR="007F7791" w:rsidRDefault="007F7791">
      <w:pPr>
        <w:rPr>
          <w:rFonts w:ascii="Times New Roman" w:hAnsi="Times New Roman" w:cs="Times New Roman"/>
          <w:b/>
          <w:sz w:val="24"/>
          <w:szCs w:val="24"/>
        </w:rPr>
      </w:pPr>
      <w:r>
        <w:rPr>
          <w:rFonts w:ascii="Times New Roman" w:hAnsi="Times New Roman" w:cs="Times New Roman"/>
          <w:b/>
          <w:sz w:val="24"/>
          <w:szCs w:val="24"/>
        </w:rPr>
        <w:br w:type="page"/>
      </w:r>
    </w:p>
    <w:p w14:paraId="16CE25C6" w14:textId="0C4F5AD7" w:rsidR="00F13942" w:rsidRDefault="007F7791" w:rsidP="00882BF5">
      <w:pPr>
        <w:pStyle w:val="1"/>
        <w:rPr>
          <w:rFonts w:ascii="Times New Roman" w:hAnsi="Times New Roman" w:cs="Times New Roman"/>
          <w:b/>
          <w:color w:val="0070C0"/>
          <w:sz w:val="24"/>
          <w:szCs w:val="24"/>
        </w:rPr>
      </w:pPr>
      <w:bookmarkStart w:id="1" w:name="_Toc178606966"/>
      <w:r w:rsidRPr="009F7085">
        <w:rPr>
          <w:rFonts w:ascii="Times New Roman" w:hAnsi="Times New Roman" w:cs="Times New Roman"/>
          <w:b/>
          <w:color w:val="0070C0"/>
          <w:sz w:val="24"/>
          <w:szCs w:val="24"/>
          <w:highlight w:val="cyan"/>
        </w:rPr>
        <w:lastRenderedPageBreak/>
        <w:t>ВРЕЗКА. ТЕХНОЛОГИЧЕСКИЙ СУВЕРЕНИТЕТ</w:t>
      </w:r>
      <w:bookmarkEnd w:id="1"/>
    </w:p>
    <w:p w14:paraId="52A13F4F" w14:textId="77777777" w:rsidR="007F7791" w:rsidRPr="007F7791" w:rsidRDefault="007F7791" w:rsidP="007F7791"/>
    <w:p w14:paraId="3AD3D4E9" w14:textId="77777777" w:rsidR="009F7085" w:rsidRPr="007F7791" w:rsidRDefault="009F7085" w:rsidP="007F7791">
      <w:pPr>
        <w:pStyle w:val="a5"/>
        <w:numPr>
          <w:ilvl w:val="0"/>
          <w:numId w:val="15"/>
        </w:numPr>
        <w:jc w:val="both"/>
        <w:rPr>
          <w:rFonts w:ascii="Times New Roman" w:hAnsi="Times New Roman" w:cs="Times New Roman"/>
          <w:b/>
          <w:sz w:val="24"/>
          <w:szCs w:val="24"/>
        </w:rPr>
      </w:pPr>
      <w:r w:rsidRPr="007F7791">
        <w:rPr>
          <w:rFonts w:ascii="Times New Roman" w:hAnsi="Times New Roman" w:cs="Times New Roman"/>
          <w:b/>
          <w:sz w:val="24"/>
          <w:szCs w:val="24"/>
        </w:rPr>
        <w:t>Правительство определило приоритетные направления проектов технологического суверенитета и структурной адаптации экономики России</w:t>
      </w:r>
    </w:p>
    <w:p w14:paraId="6B9BCB67" w14:textId="77777777" w:rsidR="009F7085" w:rsidRPr="007F7791" w:rsidRDefault="009F7085" w:rsidP="009F7085">
      <w:pPr>
        <w:jc w:val="both"/>
        <w:rPr>
          <w:rFonts w:ascii="Times New Roman" w:hAnsi="Times New Roman" w:cs="Times New Roman"/>
          <w:b/>
          <w:sz w:val="24"/>
          <w:szCs w:val="24"/>
        </w:rPr>
      </w:pPr>
      <w:r w:rsidRPr="007F7791">
        <w:rPr>
          <w:rFonts w:ascii="Times New Roman" w:hAnsi="Times New Roman" w:cs="Times New Roman"/>
          <w:b/>
          <w:sz w:val="24"/>
          <w:szCs w:val="24"/>
        </w:rPr>
        <w:t>Постановление от 15 апреля 2023 года №603</w:t>
      </w:r>
    </w:p>
    <w:p w14:paraId="52D729AD"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Правительство продолжает работу по обеспечению технологического суверенитета – это одно из шести целевых направлений, развивать которые поручил Президент. Подписано постановление, определяющее приоритетные направления проектов, реализация которых будет способствовать достижению этой цели, а также позволит провести структурную адаптацию экономики к сегодняшним реалиям.  </w:t>
      </w:r>
    </w:p>
    <w:p w14:paraId="2366A40C"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Работа будет вестись по 13 приоритетным направлениям: авиационная промышленность, автомобилестроение, железнодорожное машиностроение, медицинская промышленность, нефтегазовое машиностроение, сельскохозяйственное машиностроение, специализированное машиностроение, станкоинструментальная промышленность, судостроение, фармацевтика, химическая промышленность, электроника и энергетика.</w:t>
      </w:r>
    </w:p>
    <w:p w14:paraId="33B01DCD"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Так, например, в сфере авиапрома будут реализовываться проекты по созданию гражданских и грузовых самолётов, беспилотников, космических аппаратов и спутников. В сфере медицинской промышленности приоритетом признано создание кардиостимуляторов, протезов, хирургических инструментов, аппаратов ИВЛ и другой техники. В сфере сельхозмашиностроения – выпуск отечественных комбайнов, тракторов и комплектующих к ним.</w:t>
      </w:r>
    </w:p>
    <w:p w14:paraId="06741938"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К приоритетным направлениям отнесены отрасли, где уровень локализации производства сейчас составляет менее 50%. Кроме того, туда включены отраслевые направления, которые являются критическими для обеспечения технологического суверенитета.  </w:t>
      </w:r>
    </w:p>
    <w:p w14:paraId="2EF8215B"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Также документ определил приоритеты для проектов структурной адаптации экономики к сегодняшним реалиям. Они необходимы для создания или модернизации инфраструктуры, позволяющей переориентировать транспортно-логистические потоки в дружественные страны юга и востока. К таким проектам, в частности, относятся строительство морских портов, судостроительных верфей, создание и развитие промышленных технопарков, строительство таможенных складов, а также услуги по перевозке различной продукции.  </w:t>
      </w:r>
    </w:p>
    <w:p w14:paraId="002479C1"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Проекты в рамках приоритетных направлений смогут рассчитывать на особый подход банков при одобрении кредитов, пониженную ставку по ним и более активное участие институтов развития.</w:t>
      </w:r>
    </w:p>
    <w:p w14:paraId="047F5E3B" w14:textId="57845429" w:rsid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«Это обеспечит до 10 трлн дополнительного финансирования для расширения перспективных отраслей, позволит заместить поставки дефицитных материалов, комплектующих и оборудования, переориентировать транспортно-логистические потоки и производить конкурентоспособную продукцию на отечественных предприятиях», – отметил Председатель Правительства Михаил Мишустин в ходе оперативного совещания с вице</w:t>
      </w:r>
      <w:r w:rsidR="007F7791">
        <w:rPr>
          <w:rFonts w:ascii="Times New Roman" w:hAnsi="Times New Roman" w:cs="Times New Roman"/>
          <w:sz w:val="24"/>
          <w:szCs w:val="24"/>
        </w:rPr>
        <w:t>-премьерами 17 апреля</w:t>
      </w:r>
      <w:r w:rsidR="00EE47C0">
        <w:rPr>
          <w:rFonts w:ascii="Times New Roman" w:hAnsi="Times New Roman" w:cs="Times New Roman"/>
          <w:sz w:val="24"/>
          <w:szCs w:val="24"/>
        </w:rPr>
        <w:t xml:space="preserve"> 2023 года</w:t>
      </w:r>
      <w:r w:rsidR="007F7791">
        <w:rPr>
          <w:rFonts w:ascii="Times New Roman" w:hAnsi="Times New Roman" w:cs="Times New Roman"/>
          <w:sz w:val="24"/>
          <w:szCs w:val="24"/>
        </w:rPr>
        <w:t>.</w:t>
      </w:r>
    </w:p>
    <w:p w14:paraId="461E7759" w14:textId="77777777" w:rsidR="007F7791" w:rsidRDefault="007F7791" w:rsidP="009F7085">
      <w:pPr>
        <w:jc w:val="both"/>
        <w:rPr>
          <w:rFonts w:ascii="Times New Roman" w:hAnsi="Times New Roman" w:cs="Times New Roman"/>
          <w:sz w:val="24"/>
          <w:szCs w:val="24"/>
        </w:rPr>
      </w:pPr>
    </w:p>
    <w:p w14:paraId="2C467F9B" w14:textId="77777777" w:rsidR="007F7791" w:rsidRDefault="007F7791" w:rsidP="009F7085">
      <w:pPr>
        <w:jc w:val="both"/>
        <w:rPr>
          <w:rFonts w:ascii="Times New Roman" w:hAnsi="Times New Roman" w:cs="Times New Roman"/>
          <w:sz w:val="24"/>
          <w:szCs w:val="24"/>
        </w:rPr>
      </w:pPr>
    </w:p>
    <w:p w14:paraId="012A6574" w14:textId="77777777" w:rsidR="007F7791" w:rsidRPr="009F7085" w:rsidRDefault="007F7791" w:rsidP="009F7085">
      <w:pPr>
        <w:jc w:val="both"/>
        <w:rPr>
          <w:rFonts w:ascii="Times New Roman" w:hAnsi="Times New Roman" w:cs="Times New Roman"/>
          <w:sz w:val="24"/>
          <w:szCs w:val="24"/>
        </w:rPr>
      </w:pPr>
    </w:p>
    <w:p w14:paraId="1FCCDE08" w14:textId="77777777" w:rsidR="009F7085" w:rsidRDefault="009F7085" w:rsidP="009F7085">
      <w:pPr>
        <w:pStyle w:val="1"/>
        <w:rPr>
          <w:rFonts w:ascii="Times New Roman" w:hAnsi="Times New Roman" w:cs="Times New Roman"/>
          <w:b/>
          <w:color w:val="0070C0"/>
          <w:sz w:val="24"/>
          <w:szCs w:val="24"/>
        </w:rPr>
      </w:pPr>
      <w:bookmarkStart w:id="2" w:name="_Toc178606967"/>
      <w:r w:rsidRPr="009F7085">
        <w:rPr>
          <w:rFonts w:ascii="Times New Roman" w:hAnsi="Times New Roman" w:cs="Times New Roman"/>
          <w:b/>
          <w:color w:val="0070C0"/>
          <w:sz w:val="24"/>
          <w:szCs w:val="24"/>
        </w:rPr>
        <w:lastRenderedPageBreak/>
        <w:t>АНОНС МЕР</w:t>
      </w:r>
      <w:bookmarkEnd w:id="2"/>
    </w:p>
    <w:p w14:paraId="7B91A78C" w14:textId="77777777" w:rsidR="009F7085" w:rsidRPr="009F7085" w:rsidRDefault="009F7085" w:rsidP="009F7085"/>
    <w:p w14:paraId="29D5F781" w14:textId="77777777" w:rsidR="009F7085" w:rsidRPr="009F7085" w:rsidRDefault="009F7085" w:rsidP="009F7085">
      <w:pPr>
        <w:pStyle w:val="a5"/>
        <w:numPr>
          <w:ilvl w:val="0"/>
          <w:numId w:val="15"/>
        </w:numPr>
        <w:jc w:val="both"/>
        <w:rPr>
          <w:rFonts w:ascii="Times New Roman" w:hAnsi="Times New Roman" w:cs="Times New Roman"/>
          <w:b/>
          <w:sz w:val="24"/>
          <w:szCs w:val="24"/>
          <w:highlight w:val="cyan"/>
        </w:rPr>
      </w:pPr>
      <w:r w:rsidRPr="009F7085">
        <w:rPr>
          <w:rFonts w:ascii="Times New Roman" w:hAnsi="Times New Roman" w:cs="Times New Roman"/>
          <w:b/>
          <w:sz w:val="24"/>
          <w:szCs w:val="24"/>
          <w:highlight w:val="cyan"/>
        </w:rPr>
        <w:t>Правительство продлило на год действие упрощённого порядка подтверждения соответствия ввозимой и выпускаемой продукции</w:t>
      </w:r>
    </w:p>
    <w:p w14:paraId="1084E80F" w14:textId="77777777" w:rsidR="009F7085" w:rsidRPr="009F7085" w:rsidRDefault="009F7085" w:rsidP="009F7085">
      <w:pPr>
        <w:jc w:val="both"/>
        <w:rPr>
          <w:rFonts w:ascii="Times New Roman" w:hAnsi="Times New Roman" w:cs="Times New Roman"/>
          <w:b/>
          <w:sz w:val="24"/>
          <w:szCs w:val="24"/>
        </w:rPr>
      </w:pPr>
      <w:r w:rsidRPr="009F7085">
        <w:rPr>
          <w:rFonts w:ascii="Times New Roman" w:hAnsi="Times New Roman" w:cs="Times New Roman"/>
          <w:b/>
          <w:sz w:val="24"/>
          <w:szCs w:val="24"/>
          <w:highlight w:val="cyan"/>
        </w:rPr>
        <w:t>Постановление от 31 августа 2024 года №1196</w:t>
      </w:r>
    </w:p>
    <w:p w14:paraId="462787A8"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Председатель Правительства Михаил Мишустин подписал постановление, которое продлевает до 1 сентября 2025 года действие упрощённого порядка подтверждения соответствия продукции требованиям технических регламентов, а также национальных и межгосударственных стандартов при ввозе её из</w:t>
      </w:r>
      <w:r w:rsidRPr="009F7085">
        <w:rPr>
          <w:rFonts w:ascii="Times New Roman" w:hAnsi="Times New Roman" w:cs="Times New Roman"/>
          <w:sz w:val="24"/>
          <w:szCs w:val="24"/>
        </w:rPr>
        <w:noBreakHyphen/>
        <w:t>за границы или выпуске в обращение на территории страны.</w:t>
      </w:r>
    </w:p>
    <w:p w14:paraId="758C0488"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Речь идёт о товарах, которые ранее требовали прохождения процедуры сертификации, занимавшей много времени. В марте 2022 года Правительство разрешило использовать производителям и экспортёрам таких товаров упрощённый порядок – им необходимо было предоставлять декларации о соответствии товаров, основанные на собственных доказательствах, без проведения длительных лабораторных исследований.</w:t>
      </w:r>
    </w:p>
    <w:p w14:paraId="1796C0B5"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После подачи декларации по упрощённой схеме и вывода продукции на рынок у производителей и экспортёров есть шесть месяцев, чтобы подтвердить соответствие товаров требованиям технических регламентов ЕАЭС или требованиям российского законодательства в сфере технического регулирования. Такой порядок позволил снизить риски попадания на рынок некачественной продукции и одновременно сократить нагрузку на бизнес.</w:t>
      </w:r>
    </w:p>
    <w:p w14:paraId="0D6B976E"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Мера, принятая в условиях санкционных ограничений, доказала свою эффективность, поэтому её решено продлить.</w:t>
      </w:r>
    </w:p>
    <w:p w14:paraId="739D08DC" w14:textId="171DD77E" w:rsid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Подписанным документом внесены изменения в постановление Правительства от 12 марта 2022 года №353.</w:t>
      </w:r>
    </w:p>
    <w:p w14:paraId="3ABE5935" w14:textId="77777777" w:rsidR="00EE47C0" w:rsidRPr="009F7085" w:rsidRDefault="00EE47C0" w:rsidP="009F7085">
      <w:pPr>
        <w:jc w:val="both"/>
        <w:rPr>
          <w:rFonts w:ascii="Times New Roman" w:hAnsi="Times New Roman" w:cs="Times New Roman"/>
          <w:sz w:val="24"/>
          <w:szCs w:val="24"/>
        </w:rPr>
      </w:pPr>
    </w:p>
    <w:p w14:paraId="5D763B66" w14:textId="77777777" w:rsidR="009F7085" w:rsidRPr="009F7085" w:rsidRDefault="009F7085" w:rsidP="009F7085">
      <w:pPr>
        <w:pStyle w:val="a5"/>
        <w:numPr>
          <w:ilvl w:val="0"/>
          <w:numId w:val="15"/>
        </w:numPr>
        <w:jc w:val="both"/>
        <w:rPr>
          <w:rFonts w:ascii="Times New Roman" w:hAnsi="Times New Roman" w:cs="Times New Roman"/>
          <w:b/>
          <w:sz w:val="24"/>
          <w:szCs w:val="24"/>
          <w:highlight w:val="cyan"/>
        </w:rPr>
      </w:pPr>
      <w:r w:rsidRPr="009F7085">
        <w:rPr>
          <w:rFonts w:ascii="Times New Roman" w:hAnsi="Times New Roman" w:cs="Times New Roman"/>
          <w:b/>
          <w:sz w:val="24"/>
          <w:szCs w:val="24"/>
          <w:highlight w:val="cyan"/>
        </w:rPr>
        <w:t>Правительство продлило меры защиты внутреннего рынка продовольствия</w:t>
      </w:r>
    </w:p>
    <w:p w14:paraId="1BD1A348" w14:textId="77777777" w:rsidR="009F7085" w:rsidRPr="009F7085" w:rsidRDefault="009F7085" w:rsidP="009F7085">
      <w:pPr>
        <w:jc w:val="both"/>
        <w:rPr>
          <w:rFonts w:ascii="Times New Roman" w:hAnsi="Times New Roman" w:cs="Times New Roman"/>
          <w:b/>
          <w:sz w:val="24"/>
          <w:szCs w:val="24"/>
        </w:rPr>
      </w:pPr>
      <w:r w:rsidRPr="009F7085">
        <w:rPr>
          <w:rFonts w:ascii="Times New Roman" w:hAnsi="Times New Roman" w:cs="Times New Roman"/>
          <w:b/>
          <w:sz w:val="24"/>
          <w:szCs w:val="24"/>
          <w:highlight w:val="cyan"/>
        </w:rPr>
        <w:t>Постановление от 29 августа 2024 года №1173</w:t>
      </w:r>
    </w:p>
    <w:p w14:paraId="1427AC1E" w14:textId="68C7DC0D"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Правительство приняло решение продлить ряд мер для поддержания стабильности на внутреннем продовольственном рынке и загрузки имеющихся мощностей по переработке сельскохозяйственной продукции. Постановление об этом подписано.</w:t>
      </w:r>
    </w:p>
    <w:p w14:paraId="5102BB43"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Так, до 31 августа 2026 года продлевается срок действия экспортной пошлины на семена подсолнечника (в размере 50%, но не менее 32 тыс. рублей за тонну) и соевые бобы (в размере 20%, но не менее 100 долларов за тонну), а также срок действия плавающих ставок вывозных таможенных пошлин на подсолнечное масло и подсолнечный шрот.</w:t>
      </w:r>
    </w:p>
    <w:p w14:paraId="70D6D44D"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Кроме того, с 1 сентября 2024 года по 31 августа 2026 года устанавливаются экспортные пошлины на семена рапса взамен действующего временного запрета на вывоз. Размер ставки составит 30%, но не менее 165 евро за тонну.</w:t>
      </w:r>
    </w:p>
    <w:p w14:paraId="7C9B7B71" w14:textId="77777777" w:rsidR="009F7085" w:rsidRPr="009F7085" w:rsidRDefault="009F7085" w:rsidP="009F7085">
      <w:pPr>
        <w:jc w:val="both"/>
        <w:rPr>
          <w:rFonts w:ascii="Times New Roman" w:hAnsi="Times New Roman" w:cs="Times New Roman"/>
          <w:sz w:val="24"/>
          <w:szCs w:val="24"/>
        </w:rPr>
      </w:pPr>
      <w:r w:rsidRPr="009F7085">
        <w:rPr>
          <w:rFonts w:ascii="Times New Roman" w:hAnsi="Times New Roman" w:cs="Times New Roman"/>
          <w:sz w:val="24"/>
          <w:szCs w:val="24"/>
        </w:rPr>
        <w:t>Временные ограничения, как и прежде, будут действовать на вывоз продукции из России за пределы Евразийского экономического союза. Их продление одобрила подкомиссия по таможенно-тарифному и нетарифному регулированию, защитным мерам во внешней торговле Правительственной комиссии по экономическому развитию и интеграции.</w:t>
      </w:r>
    </w:p>
    <w:p w14:paraId="73DB866C" w14:textId="2B2EEF92" w:rsidR="009F7085" w:rsidRDefault="009F7085" w:rsidP="009F7085">
      <w:pPr>
        <w:jc w:val="both"/>
      </w:pPr>
      <w:r w:rsidRPr="009F7085">
        <w:rPr>
          <w:rFonts w:ascii="Times New Roman" w:hAnsi="Times New Roman" w:cs="Times New Roman"/>
          <w:sz w:val="24"/>
          <w:szCs w:val="24"/>
        </w:rPr>
        <w:t>Подписанным документом внесены изменения в постановление от 6 апреля 2021 года №546 и постановление от 27 ноября 2021 года №2068</w:t>
      </w:r>
      <w:r>
        <w:rPr>
          <w:rFonts w:ascii="Georgia" w:hAnsi="Georgia"/>
          <w:color w:val="111111"/>
          <w:sz w:val="27"/>
          <w:szCs w:val="27"/>
        </w:rPr>
        <w:t>.</w:t>
      </w:r>
    </w:p>
    <w:p w14:paraId="6CB49226" w14:textId="3371294F" w:rsidR="00B86BA9" w:rsidRPr="00DD0A4C" w:rsidRDefault="00B86BA9" w:rsidP="009F7085">
      <w:pPr>
        <w:rPr>
          <w:rFonts w:ascii="Times New Roman" w:hAnsi="Times New Roman" w:cs="Times New Roman"/>
          <w:b/>
          <w:sz w:val="24"/>
          <w:szCs w:val="24"/>
        </w:rPr>
      </w:pPr>
    </w:p>
    <w:p w14:paraId="7E4836E9" w14:textId="77777777" w:rsidR="00900825" w:rsidRPr="004C777D" w:rsidRDefault="00900825" w:rsidP="00EE47C0">
      <w:pPr>
        <w:pStyle w:val="a5"/>
        <w:numPr>
          <w:ilvl w:val="0"/>
          <w:numId w:val="15"/>
        </w:numPr>
        <w:jc w:val="both"/>
        <w:rPr>
          <w:rFonts w:ascii="Times New Roman" w:hAnsi="Times New Roman" w:cs="Times New Roman"/>
          <w:b/>
          <w:sz w:val="24"/>
          <w:szCs w:val="24"/>
        </w:rPr>
      </w:pPr>
      <w:r w:rsidRPr="004C777D">
        <w:rPr>
          <w:rFonts w:ascii="Times New Roman" w:hAnsi="Times New Roman" w:cs="Times New Roman"/>
          <w:b/>
          <w:sz w:val="24"/>
          <w:szCs w:val="24"/>
        </w:rPr>
        <w:t>Правительство выделило еще 1,4 млрд рублей на субсидирование морских грузоперевозок в Калининградскую область</w:t>
      </w:r>
    </w:p>
    <w:p w14:paraId="500BAF8E" w14:textId="6295EA35" w:rsidR="00900825" w:rsidRPr="00900825" w:rsidRDefault="00900825" w:rsidP="00900825">
      <w:pPr>
        <w:jc w:val="both"/>
        <w:rPr>
          <w:rFonts w:ascii="Times New Roman" w:hAnsi="Times New Roman" w:cs="Times New Roman"/>
          <w:b/>
          <w:sz w:val="24"/>
          <w:szCs w:val="24"/>
        </w:rPr>
      </w:pPr>
      <w:r w:rsidRPr="00900825">
        <w:rPr>
          <w:rFonts w:ascii="Times New Roman" w:hAnsi="Times New Roman" w:cs="Times New Roman"/>
          <w:b/>
          <w:sz w:val="24"/>
          <w:szCs w:val="24"/>
        </w:rPr>
        <w:t xml:space="preserve">Информационное сообщение от </w:t>
      </w:r>
      <w:r>
        <w:rPr>
          <w:rFonts w:ascii="Times New Roman" w:hAnsi="Times New Roman" w:cs="Times New Roman"/>
          <w:b/>
          <w:sz w:val="24"/>
          <w:szCs w:val="24"/>
        </w:rPr>
        <w:t>31</w:t>
      </w:r>
      <w:r w:rsidRPr="00900825">
        <w:rPr>
          <w:rFonts w:ascii="Times New Roman" w:hAnsi="Times New Roman" w:cs="Times New Roman"/>
          <w:b/>
          <w:sz w:val="24"/>
          <w:szCs w:val="24"/>
        </w:rPr>
        <w:t xml:space="preserve"> июля 2024 года</w:t>
      </w:r>
    </w:p>
    <w:p w14:paraId="2178705B"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Распоряжение от 27 июля 2024 года №1999-р</w:t>
      </w:r>
    </w:p>
    <w:p w14:paraId="0C110A59"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Решение принято по поручению Президента.</w:t>
      </w:r>
    </w:p>
    <w:p w14:paraId="63B49DA8"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Правительство дополнительно поддержит Калининградскую область, столкнувшуюся с санкционными ограничениями на транзит грузов из других регионов страны. На субсидирование перевозок морским транспортом выделено ещё 1,4 млрд рублей. Распоряжение об этом подписал Председатель Правительства Михаил Мишустин.</w:t>
      </w:r>
    </w:p>
    <w:p w14:paraId="2938C708"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Средства будут направлены Росморречфлоту, который в свою очередь распределит субсидии между морскими грузоперевозчиками. Источником финансирования станет резервный фонд Правительства.</w:t>
      </w:r>
    </w:p>
    <w:p w14:paraId="43ED4A31"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Принятые меры позволят обеспечить перевозку грузов по льготному тарифу в Калининградскую область и из неё морским транспортом. Предполагается, что до конца 2024 года объём перевозок составит 0,47 млн т.</w:t>
      </w:r>
    </w:p>
    <w:p w14:paraId="65345045"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Комментируя это решение на заседании Правительства 31 июля, Михаил Мишустин отметил, что оно укрепит транспортную связанность страны и поможет создать базу для продолжения роста экономики и, что особенно важно, – благосостояния граждан.</w:t>
      </w:r>
    </w:p>
    <w:p w14:paraId="291E131C"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Субсидирование морских перевозок в самый западный регион страны началось в 2022 году, после того как Литва начала блокировать поставки определённых товаров по железной дороге. В 2022–2023 годах благодаря льготному субсидированию общий объём морских перевозок в Калининградскую область и обратно составил почти 0,85 млн т.</w:t>
      </w:r>
    </w:p>
    <w:p w14:paraId="71F12639" w14:textId="77777777" w:rsidR="00900825" w:rsidRPr="00900825" w:rsidRDefault="00900825" w:rsidP="00900825">
      <w:pPr>
        <w:jc w:val="both"/>
        <w:rPr>
          <w:rFonts w:ascii="Times New Roman" w:hAnsi="Times New Roman" w:cs="Times New Roman"/>
          <w:sz w:val="24"/>
          <w:szCs w:val="24"/>
        </w:rPr>
      </w:pPr>
      <w:r w:rsidRPr="00900825">
        <w:rPr>
          <w:rFonts w:ascii="Times New Roman" w:hAnsi="Times New Roman" w:cs="Times New Roman"/>
          <w:sz w:val="24"/>
          <w:szCs w:val="24"/>
        </w:rPr>
        <w:t>В ноябре 2023 года Президент поручил Правительству просубсидировать морские перевозки в Калининградскую область в 2023–2024 годах. В марте 2024 года на эти цели уже было выделено 1,8 млрд рублей.</w:t>
      </w:r>
    </w:p>
    <w:p w14:paraId="7A90DAAB" w14:textId="77777777" w:rsidR="00900825" w:rsidRDefault="00900825" w:rsidP="00900825">
      <w:pPr>
        <w:pStyle w:val="a5"/>
        <w:jc w:val="both"/>
        <w:rPr>
          <w:rFonts w:ascii="Times New Roman" w:hAnsi="Times New Roman" w:cs="Times New Roman"/>
          <w:b/>
          <w:sz w:val="24"/>
          <w:szCs w:val="24"/>
        </w:rPr>
      </w:pPr>
    </w:p>
    <w:p w14:paraId="300D5130" w14:textId="77777777" w:rsidR="00F13942" w:rsidRDefault="00F13942">
      <w:pPr>
        <w:rPr>
          <w:rFonts w:ascii="Times New Roman" w:hAnsi="Times New Roman" w:cs="Times New Roman"/>
          <w:sz w:val="24"/>
          <w:szCs w:val="24"/>
        </w:rPr>
      </w:pPr>
      <w:r>
        <w:rPr>
          <w:rFonts w:ascii="Times New Roman" w:hAnsi="Times New Roman" w:cs="Times New Roman"/>
          <w:sz w:val="24"/>
          <w:szCs w:val="24"/>
        </w:rPr>
        <w:br w:type="page"/>
      </w:r>
    </w:p>
    <w:p w14:paraId="5140FE36" w14:textId="63D1B5B6" w:rsidR="00C11580" w:rsidRPr="00F10141" w:rsidRDefault="004F358C" w:rsidP="00872E85">
      <w:pPr>
        <w:pStyle w:val="1"/>
        <w:rPr>
          <w:rFonts w:ascii="Times New Roman" w:hAnsi="Times New Roman" w:cs="Times New Roman"/>
          <w:b/>
          <w:color w:val="0070C0"/>
          <w:sz w:val="24"/>
          <w:szCs w:val="24"/>
        </w:rPr>
      </w:pPr>
      <w:bookmarkStart w:id="3" w:name="_Toc178606968"/>
      <w:r>
        <w:rPr>
          <w:rFonts w:ascii="Times New Roman" w:hAnsi="Times New Roman" w:cs="Times New Roman"/>
          <w:b/>
          <w:color w:val="0070C0"/>
          <w:sz w:val="24"/>
          <w:szCs w:val="24"/>
        </w:rPr>
        <w:t xml:space="preserve">ОТДЕЛЬНЫЕ </w:t>
      </w:r>
      <w:r w:rsidR="00C11580" w:rsidRPr="00F10141">
        <w:rPr>
          <w:rFonts w:ascii="Times New Roman" w:hAnsi="Times New Roman" w:cs="Times New Roman"/>
          <w:b/>
          <w:color w:val="0070C0"/>
          <w:sz w:val="24"/>
          <w:szCs w:val="24"/>
        </w:rPr>
        <w:t>МЕРЫ ПО ОБЕСПЕЧЕНИЮ РАБОТЫ ЭКОНОМИКИ В УСЛОВИЯХ ЧАСТИЧНОЙ МОБИЛИЗАЦИИ</w:t>
      </w:r>
      <w:bookmarkEnd w:id="3"/>
    </w:p>
    <w:p w14:paraId="27554322" w14:textId="77777777" w:rsidR="000167CE" w:rsidRPr="00F10141" w:rsidRDefault="000167CE" w:rsidP="005E4E40">
      <w:pPr>
        <w:rPr>
          <w:rFonts w:ascii="Times New Roman" w:hAnsi="Times New Roman" w:cs="Times New Roman"/>
        </w:rPr>
      </w:pPr>
    </w:p>
    <w:p w14:paraId="5AD17571" w14:textId="77777777" w:rsidR="00631AEC" w:rsidRPr="004C777D" w:rsidRDefault="00631AEC" w:rsidP="00631AEC">
      <w:pPr>
        <w:pStyle w:val="a5"/>
        <w:numPr>
          <w:ilvl w:val="0"/>
          <w:numId w:val="15"/>
        </w:numPr>
        <w:jc w:val="both"/>
        <w:rPr>
          <w:rFonts w:ascii="Times New Roman" w:hAnsi="Times New Roman" w:cs="Times New Roman"/>
          <w:b/>
          <w:sz w:val="24"/>
          <w:szCs w:val="24"/>
        </w:rPr>
      </w:pPr>
      <w:r w:rsidRPr="004C777D">
        <w:rPr>
          <w:rFonts w:ascii="Times New Roman" w:hAnsi="Times New Roman" w:cs="Times New Roman"/>
          <w:b/>
          <w:sz w:val="24"/>
          <w:szCs w:val="24"/>
        </w:rPr>
        <w:t>Гранты предприятиям в регионах в непосредственной близости от мест боевых действий</w:t>
      </w:r>
    </w:p>
    <w:p w14:paraId="309350A2"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Описание меры</w:t>
      </w:r>
    </w:p>
    <w:p w14:paraId="1E8935DD"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Более двух десятков предприятий в Белгородской, Брянской и Курской областях, а также в Республике Крым и Севастополе получат средства на восстановление производства.</w:t>
      </w:r>
    </w:p>
    <w:p w14:paraId="1A87FF4E" w14:textId="23F4F241"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Гранты предприятиям предоставят региональные фонды развития промышленности. На эти цели Правительством выделено около 2 млрд рублей.</w:t>
      </w:r>
    </w:p>
    <w:p w14:paraId="6EFE0D69" w14:textId="77777777"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Региональные фонды развития промышленности</w:t>
      </w:r>
    </w:p>
    <w:p w14:paraId="51006B88" w14:textId="06FE5FAA"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Документы, вводящие меру</w:t>
      </w:r>
    </w:p>
    <w:p w14:paraId="23A7E444" w14:textId="67A8AB23" w:rsidR="00631AEC" w:rsidRPr="00631AEC" w:rsidRDefault="00631AEC" w:rsidP="00631AEC">
      <w:pPr>
        <w:ind w:firstLine="567"/>
        <w:jc w:val="both"/>
        <w:rPr>
          <w:rFonts w:ascii="Times New Roman" w:hAnsi="Times New Roman" w:cs="Times New Roman"/>
          <w:sz w:val="24"/>
          <w:szCs w:val="24"/>
        </w:rPr>
      </w:pPr>
      <w:r w:rsidRPr="00631AEC">
        <w:rPr>
          <w:rFonts w:ascii="Times New Roman" w:hAnsi="Times New Roman" w:cs="Times New Roman"/>
          <w:sz w:val="24"/>
          <w:szCs w:val="24"/>
        </w:rPr>
        <w:t>Распоряжение от 15 декабря 2023 года №3648-р</w:t>
      </w:r>
    </w:p>
    <w:p w14:paraId="024463C6" w14:textId="77777777" w:rsidR="00631AEC" w:rsidRPr="00631AEC" w:rsidRDefault="00631AEC" w:rsidP="00631AEC">
      <w:pPr>
        <w:ind w:firstLine="567"/>
        <w:jc w:val="both"/>
        <w:rPr>
          <w:rFonts w:ascii="Times New Roman" w:hAnsi="Times New Roman" w:cs="Times New Roman"/>
          <w:sz w:val="24"/>
          <w:szCs w:val="24"/>
        </w:rPr>
      </w:pPr>
    </w:p>
    <w:p w14:paraId="53FF9D6F" w14:textId="77777777" w:rsidR="009632C3" w:rsidRPr="006763AB" w:rsidRDefault="009632C3" w:rsidP="00EA0645">
      <w:pPr>
        <w:pStyle w:val="a5"/>
        <w:numPr>
          <w:ilvl w:val="0"/>
          <w:numId w:val="15"/>
        </w:numPr>
        <w:jc w:val="both"/>
        <w:rPr>
          <w:rFonts w:ascii="Times New Roman" w:hAnsi="Times New Roman" w:cs="Times New Roman"/>
          <w:b/>
          <w:sz w:val="24"/>
          <w:szCs w:val="24"/>
        </w:rPr>
      </w:pPr>
      <w:r w:rsidRPr="006763AB">
        <w:rPr>
          <w:rFonts w:ascii="Times New Roman" w:hAnsi="Times New Roman" w:cs="Times New Roman"/>
          <w:b/>
          <w:sz w:val="24"/>
          <w:szCs w:val="24"/>
        </w:rPr>
        <w:t>Поддержка бизнеса Белгородской области</w:t>
      </w:r>
    </w:p>
    <w:p w14:paraId="10479640"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Описание меры</w:t>
      </w:r>
    </w:p>
    <w:p w14:paraId="255BD072"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В Белгородскую область будет направлено 500 млн рублей на поддержку организаций и индивидуальных предпринимателей.</w:t>
      </w:r>
    </w:p>
    <w:p w14:paraId="313113A7"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С их помощью представители бизнеса смогут получить субсидии на частичную компенсацию расходов по отсроченным платежам за страховые взносы и налог на прибыль.</w:t>
      </w:r>
    </w:p>
    <w:p w14:paraId="1CFCAB8F"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Отсрочка по таким платежам была предоставлена организациям и индивидуальным предпринимателям, работающим в Белгородской области, в 2023 году. Право на эту меру поддержки получили предприятия, пострадавшие от украинских обстрелов, а также те представители бизнеса, которые работают в сфере потребительского рынка, если их доходы в 2023 году снизились более чем на 30% по сравнению с 2022 годом. Сроки платежей по страховым взносам и налогу на прибыль были перенесены на 1 год с возможностью их уплаты в рассрочку в течение ещё 1 года (равными частями ежемесячно).</w:t>
      </w:r>
    </w:p>
    <w:p w14:paraId="6ADC1251"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Срок получения</w:t>
      </w:r>
    </w:p>
    <w:p w14:paraId="17B79DBF"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2024 год</w:t>
      </w:r>
    </w:p>
    <w:p w14:paraId="273066CD"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Условия получения</w:t>
      </w:r>
    </w:p>
    <w:p w14:paraId="08D911EA"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Субсидии смогут получить организации и индивидуальные предприниматели, получившие в 2023 году отсрочку по налоговым платежам</w:t>
      </w:r>
    </w:p>
    <w:p w14:paraId="64968BA4"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Региональные фонды развития промышленности</w:t>
      </w:r>
    </w:p>
    <w:p w14:paraId="1DC8B2ED"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Документы, вводящие меру</w:t>
      </w:r>
    </w:p>
    <w:p w14:paraId="04048595" w14:textId="77777777" w:rsidR="009632C3" w:rsidRPr="00EA0645" w:rsidRDefault="009632C3" w:rsidP="00EA0645">
      <w:pPr>
        <w:ind w:firstLine="567"/>
        <w:jc w:val="both"/>
        <w:rPr>
          <w:rFonts w:ascii="Times New Roman" w:hAnsi="Times New Roman" w:cs="Times New Roman"/>
          <w:sz w:val="24"/>
          <w:szCs w:val="24"/>
        </w:rPr>
      </w:pPr>
      <w:r w:rsidRPr="00EA0645">
        <w:rPr>
          <w:rFonts w:ascii="Times New Roman" w:hAnsi="Times New Roman" w:cs="Times New Roman"/>
          <w:sz w:val="24"/>
          <w:szCs w:val="24"/>
        </w:rPr>
        <w:t>Распоряжение от 3 мая 2024 года №1099-р</w:t>
      </w:r>
    </w:p>
    <w:p w14:paraId="640E1815" w14:textId="77777777" w:rsidR="009632C3" w:rsidRPr="00EA0645" w:rsidRDefault="009632C3" w:rsidP="00EA0645">
      <w:pPr>
        <w:ind w:firstLine="567"/>
        <w:jc w:val="both"/>
        <w:rPr>
          <w:rFonts w:ascii="Times New Roman" w:hAnsi="Times New Roman" w:cs="Times New Roman"/>
          <w:sz w:val="24"/>
          <w:szCs w:val="24"/>
        </w:rPr>
      </w:pPr>
    </w:p>
    <w:p w14:paraId="54D64CF5" w14:textId="77777777" w:rsidR="004F358C" w:rsidRPr="004F358C" w:rsidRDefault="004F358C" w:rsidP="004F358C">
      <w:pPr>
        <w:pStyle w:val="a5"/>
        <w:numPr>
          <w:ilvl w:val="0"/>
          <w:numId w:val="15"/>
        </w:numPr>
        <w:jc w:val="both"/>
        <w:rPr>
          <w:rFonts w:ascii="Times New Roman" w:hAnsi="Times New Roman" w:cs="Times New Roman"/>
          <w:b/>
          <w:sz w:val="24"/>
          <w:szCs w:val="24"/>
        </w:rPr>
      </w:pPr>
      <w:r w:rsidRPr="004F358C">
        <w:rPr>
          <w:rFonts w:ascii="Times New Roman" w:hAnsi="Times New Roman" w:cs="Times New Roman"/>
          <w:b/>
          <w:sz w:val="24"/>
          <w:szCs w:val="24"/>
        </w:rPr>
        <w:t>Субсидии бизнесу на трудоустройство молодёжи</w:t>
      </w:r>
    </w:p>
    <w:p w14:paraId="3C53477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Описание меры</w:t>
      </w:r>
    </w:p>
    <w:p w14:paraId="61E89E3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Работодатель может получить господдержку в рамках программы субсидирования найма при трудоустройстве:</w:t>
      </w:r>
    </w:p>
    <w:p w14:paraId="27B113CE"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молодых людей до 30 лет, испытывающих сложности при трудоустройстве;</w:t>
      </w:r>
    </w:p>
    <w:p w14:paraId="03E9E0C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граждан, участвовавших в специальной военной операции;</w:t>
      </w:r>
    </w:p>
    <w:p w14:paraId="12564ED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членов семей участников СВО, погибших при выполнении задач в ходе боевых действий;</w:t>
      </w:r>
    </w:p>
    <w:p w14:paraId="667006E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работников, которые в этом году потеряли работу из-за сокращения штата;</w:t>
      </w:r>
    </w:p>
    <w:p w14:paraId="36775A33"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тех, кто находился под риском увольнения и был переведен к другому работодателю;</w:t>
      </w:r>
    </w:p>
    <w:p w14:paraId="04204F8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граждан с инвалидностью (при трудоустройстве в ИП и предприятия, учредители которых являются гражданами с инвалидностью либо общественные организации инвалидов)</w:t>
      </w:r>
    </w:p>
    <w:p w14:paraId="7F81AA69"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граждан Украины, а также лиц без гражданства, которые получили удостоверение беженца или свидетельство о предоставлении временного убежища на территории Российской Федерации.</w:t>
      </w:r>
    </w:p>
    <w:p w14:paraId="645E7E1D"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Субсидия будет равна:</w:t>
      </w:r>
    </w:p>
    <w:p w14:paraId="13CECC1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- 3 МРОТ, увеличенным на районный коэффициент, сумму страховых взносов и количество трудоустроенных граждан;</w:t>
      </w:r>
    </w:p>
    <w:p w14:paraId="43A7B85F"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- 6 МРОТ, увеличенным на районный коэффициент, сумму страховых взносов и количество трудоустроенных, в случае трудоустройстве в ИП и предприятия, учредители, которых являются гражданами с инвалидностью либо общественные организации инвалидов.</w:t>
      </w:r>
    </w:p>
    <w:p w14:paraId="3066DF45"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Срок получения</w:t>
      </w:r>
    </w:p>
    <w:p w14:paraId="75901A4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2024 год</w:t>
      </w:r>
    </w:p>
    <w:p w14:paraId="0A661F6D"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Первый платёж работодатель получит через месяц после трудоустройства соискателя, второй – через три месяца, третий – через шесть месяцев.</w:t>
      </w:r>
    </w:p>
    <w:p w14:paraId="110D00C9"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Условия получения</w:t>
      </w:r>
    </w:p>
    <w:p w14:paraId="53D803B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Организация может принять участие в программе, если:</w:t>
      </w:r>
    </w:p>
    <w:p w14:paraId="1DAE425E"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официально зарегистрирована до 1 января 2024 года;</w:t>
      </w:r>
    </w:p>
    <w:p w14:paraId="253DE96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имеет задолженностей, превышающих 10 тыс. рублей;</w:t>
      </w:r>
    </w:p>
    <w:p w14:paraId="4A4527C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находится в процессе реорганизации, ликвидации, банкротства, и деятельность организации не была приостановлена или прекращена;</w:t>
      </w:r>
    </w:p>
    <w:p w14:paraId="22FA9A9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не получает средства из федерального бюджета в рамках иных программ в целях возмещения затрат, связанных с трудоустройством безработных граждан;</w:t>
      </w:r>
    </w:p>
    <w:p w14:paraId="1AD2836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в уставном (складочном) капитале организации доля участия иностранных юридических лиц, местом регистрации которых является государство или территория, включенные в утверждённый Министерством финансов перечень государств и территорий, предоставляющих льготный налоговый режим налогообложения и не предусматривающих раскрытия и предоставления информации при проведении финансовых операций в отношении таких юридических лиц, в совокупности не превышает 50%;</w:t>
      </w:r>
    </w:p>
    <w:p w14:paraId="4A1F93E3"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руководитель, члены коллегиального исполнительного органа, лицо, исполняющее функции единоличного исполнительного органа, или главный бухгалтер организации не внесены в реестр дисквалифицированных лиц;</w:t>
      </w:r>
    </w:p>
    <w:p w14:paraId="1E5EFEC7"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трудоустройство работодателем граждан на условиях полного рабочего дня с учетом режима рабочего времени, установленного правилами внутреннего трудового распорядка работодателя</w:t>
      </w:r>
    </w:p>
    <w:p w14:paraId="49DA03AC"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выплата работодателем заработной платы трудоустроенным гражданам в размере не ниже величины минимального размера оплаты труда, установленного Федеральным законом «О минимальном размере оплаты труда»</w:t>
      </w:r>
    </w:p>
    <w:p w14:paraId="61309DBA"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организация не является получателем в 2024 году субсидии в соответствии с постановлением Правительства «О предоставлении субсидий из федерального бюджета на государственную поддержку отдельных общественных и иных некоммерческих организаций».</w:t>
      </w:r>
    </w:p>
    <w:p w14:paraId="25E17AE1"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Как получить</w:t>
      </w:r>
    </w:p>
    <w:p w14:paraId="1C391E46"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Чтобы получить господдержку, работодателю нужно:</w:t>
      </w:r>
    </w:p>
    <w:p w14:paraId="1A27CF0B"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направить заявление через портал «Работа России»;</w:t>
      </w:r>
    </w:p>
    <w:p w14:paraId="6E15D5D6" w14:textId="14368FE2"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провести собеседование с потенциальными сотрудниками, отобранных специалистами центров занятости</w:t>
      </w:r>
    </w:p>
    <w:p w14:paraId="1E90784F"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после этого потребуется направить заявление в Социальный Фонд России, который занимается распределением и выплатой субсидий. Сделать это также можно дистанционно – через систему «Соцстрах».</w:t>
      </w:r>
    </w:p>
    <w:p w14:paraId="48C4BB68"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 Социальный фонд России проверит данные для расчета размера субсидий.</w:t>
      </w:r>
    </w:p>
    <w:p w14:paraId="5B20F064"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Документы, вводящие меру</w:t>
      </w:r>
    </w:p>
    <w:p w14:paraId="07A3C765" w14:textId="77777777" w:rsidR="004F358C" w:rsidRPr="004F358C" w:rsidRDefault="004F358C" w:rsidP="004F358C">
      <w:pPr>
        <w:ind w:firstLine="567"/>
        <w:jc w:val="both"/>
        <w:rPr>
          <w:rFonts w:ascii="Times New Roman" w:hAnsi="Times New Roman" w:cs="Times New Roman"/>
          <w:sz w:val="24"/>
          <w:szCs w:val="24"/>
        </w:rPr>
      </w:pPr>
      <w:r w:rsidRPr="004F358C">
        <w:rPr>
          <w:rFonts w:ascii="Times New Roman" w:hAnsi="Times New Roman" w:cs="Times New Roman"/>
          <w:sz w:val="24"/>
          <w:szCs w:val="24"/>
        </w:rPr>
        <w:t>Постановление от 13 марта 2021 года № 362 «О государственной поддержке в 2024 году юридических лиц, включая некоммерческие организации, и индивидуальных предпринимателей в целях стимулирования занятости отдельных категорий граждан»</w:t>
      </w:r>
    </w:p>
    <w:p w14:paraId="147774BA" w14:textId="77777777" w:rsidR="00EB405F" w:rsidRPr="00F10141" w:rsidRDefault="00EB405F" w:rsidP="00F10141">
      <w:pPr>
        <w:rPr>
          <w:rFonts w:ascii="Times New Roman" w:hAnsi="Times New Roman" w:cs="Times New Roman"/>
        </w:rPr>
      </w:pPr>
    </w:p>
    <w:p w14:paraId="3F68876F" w14:textId="57B27348" w:rsidR="009E355D" w:rsidRPr="00F10141" w:rsidRDefault="009E355D">
      <w:pPr>
        <w:rPr>
          <w:rFonts w:ascii="Times New Roman" w:hAnsi="Times New Roman" w:cs="Times New Roman"/>
          <w:sz w:val="24"/>
          <w:szCs w:val="24"/>
        </w:rPr>
      </w:pPr>
      <w:r w:rsidRPr="00F10141">
        <w:rPr>
          <w:rFonts w:ascii="Times New Roman" w:hAnsi="Times New Roman" w:cs="Times New Roman"/>
          <w:sz w:val="24"/>
          <w:szCs w:val="24"/>
        </w:rPr>
        <w:br w:type="page"/>
      </w:r>
    </w:p>
    <w:p w14:paraId="18B63DE0" w14:textId="01E2D7D6" w:rsidR="004101C2" w:rsidRPr="00F10141" w:rsidRDefault="004101C2" w:rsidP="004101C2">
      <w:pPr>
        <w:pStyle w:val="1"/>
        <w:rPr>
          <w:rFonts w:ascii="Times New Roman" w:hAnsi="Times New Roman" w:cs="Times New Roman"/>
          <w:b/>
          <w:color w:val="0070C0"/>
          <w:sz w:val="24"/>
          <w:szCs w:val="24"/>
        </w:rPr>
      </w:pPr>
      <w:bookmarkStart w:id="4" w:name="_Toc178606969"/>
      <w:r w:rsidRPr="00F10141">
        <w:rPr>
          <w:rFonts w:ascii="Times New Roman" w:hAnsi="Times New Roman" w:cs="Times New Roman"/>
          <w:b/>
          <w:color w:val="0070C0"/>
          <w:sz w:val="24"/>
          <w:szCs w:val="24"/>
        </w:rPr>
        <w:t>МЕРЫ ПРАВИТЕЛЬСТВА РОССИИ ПО ПОВЫШЕНИЮ УСТОЙЧИВОСТИ РАЗВИТИЯ ЭКОНОМИКИ В УСЛОВИЯХ САНКЦИЙ</w:t>
      </w:r>
      <w:bookmarkEnd w:id="4"/>
    </w:p>
    <w:p w14:paraId="56B40085" w14:textId="02C1D577" w:rsidR="00114B24" w:rsidRPr="00F10141" w:rsidRDefault="00DE6585" w:rsidP="00A1176A">
      <w:pPr>
        <w:pStyle w:val="1"/>
        <w:rPr>
          <w:rFonts w:ascii="Times New Roman" w:hAnsi="Times New Roman" w:cs="Times New Roman"/>
          <w:b/>
          <w:color w:val="0070C0"/>
          <w:sz w:val="24"/>
          <w:szCs w:val="24"/>
        </w:rPr>
      </w:pPr>
      <w:bookmarkStart w:id="5" w:name="_Toc178606970"/>
      <w:r w:rsidRPr="00F10141">
        <w:rPr>
          <w:rFonts w:ascii="Times New Roman" w:hAnsi="Times New Roman" w:cs="Times New Roman"/>
          <w:b/>
          <w:color w:val="0070C0"/>
          <w:sz w:val="24"/>
          <w:szCs w:val="24"/>
        </w:rPr>
        <w:t>ПОДДЕРЖКА СИСТЕМООБРАЗУЮЩИХ КОМПАНИЙ</w:t>
      </w:r>
      <w:bookmarkEnd w:id="5"/>
    </w:p>
    <w:p w14:paraId="6126EBCE" w14:textId="77777777" w:rsidR="0076029D" w:rsidRPr="00F10141" w:rsidRDefault="0076029D" w:rsidP="00A54968">
      <w:pPr>
        <w:shd w:val="clear" w:color="auto" w:fill="FFFFFF" w:themeFill="background1"/>
        <w:spacing w:line="240" w:lineRule="auto"/>
        <w:jc w:val="both"/>
        <w:rPr>
          <w:rFonts w:ascii="Times New Roman" w:hAnsi="Times New Roman" w:cs="Times New Roman"/>
          <w:b/>
          <w:sz w:val="24"/>
          <w:szCs w:val="24"/>
        </w:rPr>
      </w:pPr>
    </w:p>
    <w:p w14:paraId="5284C814"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AFC9855"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Правительство возобновляет действие адресных мер поддержки для системообразующих организаций, действовавших в 2020 году в качестве антикризисной меры. </w:t>
      </w:r>
    </w:p>
    <w:p w14:paraId="576CD263"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перечень мер поддержки, доступных для системообразующих компаний, прошедших отбор на право её получения, включены государственные гарантии, необходимые для реструктуризации кредитов или получения новых, а также субсидии на возмещение затрат.</w:t>
      </w:r>
    </w:p>
    <w:p w14:paraId="04D0142F"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Потенциальным участникам программы не придётся проходить стресс-тесты (обязательную оценку финансовой устойчивости) – этот пункт исключён из правил для упрощения доступа к господдержке.</w:t>
      </w:r>
    </w:p>
    <w:p w14:paraId="3DA2F7FC"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30105F21" w14:textId="656DB272"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Правила отбора участников программы утверждены </w:t>
      </w:r>
      <w:hyperlink r:id="rId12" w:history="1">
        <w:r w:rsidRPr="00F10141">
          <w:rPr>
            <w:rFonts w:ascii="Times New Roman" w:hAnsi="Times New Roman" w:cs="Times New Roman"/>
            <w:sz w:val="24"/>
            <w:szCs w:val="24"/>
          </w:rPr>
          <w:t>постановлением Правительства от 6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296.</w:t>
        </w:r>
      </w:hyperlink>
    </w:p>
    <w:p w14:paraId="7F1E53FE"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Заявки на участие в программе подаются через профильные министерства. Они будут верифицироваться межведомственной комиссией Минэкономразвития.</w:t>
      </w:r>
    </w:p>
    <w:p w14:paraId="498943C4" w14:textId="77777777"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31F97FDC" w14:textId="3C63B2E1" w:rsidR="00114B24" w:rsidRPr="00F10141" w:rsidRDefault="00114B2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6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296</w:t>
      </w:r>
    </w:p>
    <w:p w14:paraId="1A31B91D" w14:textId="77777777" w:rsidR="00AE4D09" w:rsidRDefault="00AE4D09" w:rsidP="00766679">
      <w:pPr>
        <w:shd w:val="clear" w:color="auto" w:fill="FFFFFF" w:themeFill="background1"/>
        <w:spacing w:line="240" w:lineRule="auto"/>
        <w:jc w:val="both"/>
        <w:rPr>
          <w:rFonts w:ascii="Times New Roman" w:hAnsi="Times New Roman" w:cs="Times New Roman"/>
          <w:b/>
          <w:sz w:val="24"/>
          <w:szCs w:val="24"/>
        </w:rPr>
      </w:pPr>
    </w:p>
    <w:p w14:paraId="30524058" w14:textId="77777777" w:rsidR="00446D1D" w:rsidRPr="00F10141" w:rsidRDefault="00446D1D" w:rsidP="00766679">
      <w:pPr>
        <w:shd w:val="clear" w:color="auto" w:fill="FFFFFF" w:themeFill="background1"/>
        <w:spacing w:line="240" w:lineRule="auto"/>
        <w:jc w:val="both"/>
        <w:rPr>
          <w:rFonts w:ascii="Times New Roman" w:hAnsi="Times New Roman" w:cs="Times New Roman"/>
          <w:b/>
          <w:sz w:val="24"/>
          <w:szCs w:val="24"/>
        </w:rPr>
      </w:pPr>
    </w:p>
    <w:p w14:paraId="3B68A625" w14:textId="0D8B2BC2" w:rsidR="00307789" w:rsidRPr="00F10141" w:rsidRDefault="00307789" w:rsidP="00766679">
      <w:p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системообразующим компаниям</w:t>
      </w:r>
    </w:p>
    <w:p w14:paraId="591475AB" w14:textId="235406D1" w:rsidR="00DB26FF" w:rsidRPr="00F10141" w:rsidRDefault="00DB26FF" w:rsidP="009615A4">
      <w:pPr>
        <w:shd w:val="clear" w:color="auto" w:fill="DEEAF6" w:themeFill="accent1" w:themeFillTint="33"/>
        <w:spacing w:line="240" w:lineRule="auto"/>
        <w:jc w:val="both"/>
        <w:rPr>
          <w:rFonts w:ascii="Times New Roman" w:hAnsi="Times New Roman" w:cs="Times New Roman"/>
          <w:b/>
          <w:i/>
          <w:sz w:val="24"/>
          <w:szCs w:val="24"/>
        </w:rPr>
      </w:pPr>
      <w:r w:rsidRPr="00F10141">
        <w:rPr>
          <w:rFonts w:ascii="Times New Roman" w:hAnsi="Times New Roman" w:cs="Times New Roman"/>
          <w:b/>
          <w:i/>
          <w:sz w:val="24"/>
          <w:szCs w:val="24"/>
        </w:rPr>
        <w:t>Льготные кредиты компаниям АПК, промышленности и торговли</w:t>
      </w:r>
    </w:p>
    <w:p w14:paraId="124AF23F" w14:textId="77777777" w:rsidR="0035052A" w:rsidRPr="00F10141" w:rsidRDefault="0035052A" w:rsidP="0035052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F64953D"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субсидирование процентной ставки по кредитам в рамках программы поддержки системообразующих организаций промышленности и торговли (почти 800 предприятий-заёмщиков) в 2023 году направят более 21,4 млрд рублей. Это позволит сохранить льготную ставку по займам, взятым в 2022 году на пополнение оборотных средств.</w:t>
      </w:r>
    </w:p>
    <w:p w14:paraId="1F3B49BD"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Программа поддержки системообразующих организаций промышленности и торговли была запущена в марте 2022 года. Организациям были доступны кредиты по льготной ставке на поддержание текущей деятельности. Одно предприятие могло получить до 10 млрд рублей на один год, группа компаний – до 30 млрд рублей. За счет этого удалось обеспечить бесперебойную работу предприятий в сложившейся экономической ситуации.</w:t>
      </w:r>
    </w:p>
    <w:p w14:paraId="56480199"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Системообразующим организациям АПК выдавали кредиты до 7 млрд рублей по льготной ставке не более 10% годовых на срок не более 12 месяцев. На реализацию этой меры поддержки аграриев из резервного фонда Правительства в 2022 году было направлено более 26 млрд рублей.</w:t>
      </w:r>
    </w:p>
    <w:p w14:paraId="6762F7CE"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00F3DCA8"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Включение в перечень системообразующих компаний.</w:t>
      </w:r>
    </w:p>
    <w:p w14:paraId="0445A60F"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Максимальное сохранение занятости.</w:t>
      </w:r>
    </w:p>
    <w:p w14:paraId="39329334"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DBB7C6C"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20 июня 2023 года №1619-р</w:t>
      </w:r>
    </w:p>
    <w:p w14:paraId="5F6C7520"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1 марта 2023 года №485-р</w:t>
      </w:r>
    </w:p>
    <w:p w14:paraId="5CF26256"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от 22 апреля 2022 года №742, от 23 апреля 2022 года №745, распоряжение от 28 апреля 2022 года №1048</w:t>
      </w:r>
    </w:p>
    <w:p w14:paraId="500C7335"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 июля 2022 года №1183</w:t>
      </w:r>
    </w:p>
    <w:p w14:paraId="5DEF2597" w14:textId="77777777" w:rsidR="00276915"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11 апреля 2022 года №831-р</w:t>
      </w:r>
    </w:p>
    <w:p w14:paraId="4499AEB1" w14:textId="26D12B1A" w:rsidR="002D28EC" w:rsidRPr="00F10141" w:rsidRDefault="00276915" w:rsidP="0027691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от 16 марта 2022 года №375, от 17 марта 2022 года №393, распоряжения от 18 марта 2022 года №532-р и №534-р</w:t>
      </w:r>
    </w:p>
    <w:p w14:paraId="13B650D7" w14:textId="77777777" w:rsidR="00276915" w:rsidRPr="00F10141" w:rsidRDefault="00276915" w:rsidP="0035052A">
      <w:pPr>
        <w:spacing w:line="240" w:lineRule="auto"/>
        <w:jc w:val="both"/>
        <w:rPr>
          <w:rFonts w:ascii="Times New Roman" w:hAnsi="Times New Roman" w:cs="Times New Roman"/>
          <w:b/>
          <w:sz w:val="24"/>
          <w:szCs w:val="24"/>
        </w:rPr>
      </w:pPr>
    </w:p>
    <w:p w14:paraId="3D42F805" w14:textId="70DAE4EA" w:rsidR="00FA773C" w:rsidRPr="00F10141" w:rsidRDefault="00DE6585" w:rsidP="00010CAD">
      <w:pPr>
        <w:pStyle w:val="1"/>
        <w:rPr>
          <w:rFonts w:ascii="Times New Roman" w:hAnsi="Times New Roman" w:cs="Times New Roman"/>
          <w:b/>
          <w:color w:val="0070C0"/>
          <w:sz w:val="24"/>
          <w:szCs w:val="24"/>
        </w:rPr>
      </w:pPr>
      <w:bookmarkStart w:id="6" w:name="_Toc178606971"/>
      <w:r w:rsidRPr="00F10141">
        <w:rPr>
          <w:rFonts w:ascii="Times New Roman" w:hAnsi="Times New Roman" w:cs="Times New Roman"/>
          <w:b/>
          <w:color w:val="0070C0"/>
          <w:sz w:val="24"/>
          <w:szCs w:val="24"/>
        </w:rPr>
        <w:t>ОТДЕЛЬНЫЕ СИСТЕМНЫЕ МЕРЫ</w:t>
      </w:r>
      <w:bookmarkEnd w:id="6"/>
    </w:p>
    <w:p w14:paraId="15A0655A" w14:textId="77777777" w:rsidR="00EC5D36" w:rsidRPr="00C55513" w:rsidRDefault="00EC5D36" w:rsidP="00C55513">
      <w:pPr>
        <w:shd w:val="clear" w:color="auto" w:fill="FFFFFF" w:themeFill="background1"/>
        <w:spacing w:line="240" w:lineRule="auto"/>
        <w:jc w:val="both"/>
        <w:rPr>
          <w:rFonts w:ascii="Times New Roman" w:hAnsi="Times New Roman" w:cs="Times New Roman"/>
          <w:b/>
          <w:sz w:val="24"/>
          <w:szCs w:val="24"/>
        </w:rPr>
      </w:pPr>
    </w:p>
    <w:p w14:paraId="7A7A2B46" w14:textId="77777777" w:rsidR="00EC5D36" w:rsidRPr="008A1704" w:rsidRDefault="00EC5D36" w:rsidP="00EC5D36">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8A1704">
        <w:rPr>
          <w:rFonts w:ascii="Times New Roman" w:hAnsi="Times New Roman" w:cs="Times New Roman"/>
          <w:b/>
          <w:sz w:val="24"/>
          <w:szCs w:val="24"/>
        </w:rPr>
        <w:t>Гибкие экспортные пошлины с привязкой к курсу рубля</w:t>
      </w:r>
    </w:p>
    <w:p w14:paraId="3BDB15BD"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EDDD07F"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Гибкие экспортные пошлины на широкий перечень товаров с привязкой к курсу рубля вводятся временно с целью защиты внутреннего рынка от необоснованного повышения цен. Регулирование применяется в целях поддержания рационального соотношения вывоза товаров и внутреннего потребления.</w:t>
      </w:r>
    </w:p>
    <w:p w14:paraId="7E9473FF"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Пошлина составит от 4% до 7% в зависимости от курса национальной валюты. При 80 рублях за доллар и ниже она будет нулевой.</w:t>
      </w:r>
    </w:p>
    <w:p w14:paraId="2032F201"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удобрений пошлина составит до 10% в зависимости от курса рубля.</w:t>
      </w:r>
    </w:p>
    <w:p w14:paraId="5D7AC749"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4A3C1AD4"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1 октября 2023 года – 31 декабря 2024 года</w:t>
      </w:r>
    </w:p>
    <w:p w14:paraId="7EDE12A6" w14:textId="77777777" w:rsidR="00EC5D36"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ACC55C1" w14:textId="287E7021" w:rsidR="001F10FF" w:rsidRPr="00F10141" w:rsidRDefault="00EC5D36" w:rsidP="00EC5D36">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сентября 2023 года №1538</w:t>
      </w:r>
    </w:p>
    <w:p w14:paraId="0DF21CDE" w14:textId="77777777" w:rsidR="00EC5D36" w:rsidRPr="00F10141" w:rsidRDefault="00EC5D36" w:rsidP="00EC5D36">
      <w:pPr>
        <w:rPr>
          <w:rFonts w:ascii="Times New Roman" w:hAnsi="Times New Roman" w:cs="Times New Roman"/>
        </w:rPr>
      </w:pPr>
    </w:p>
    <w:p w14:paraId="682DC0D5" w14:textId="77777777" w:rsidR="00631AFC" w:rsidRPr="00F10141" w:rsidRDefault="00631AFC" w:rsidP="00631AFC">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Утверждение порядка эксплуатации иностранных самолётов</w:t>
      </w:r>
    </w:p>
    <w:p w14:paraId="3E4B8BAA"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339BBE4"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авиакомпании продолжат эксплуатировать самолёты, взятые в лизинг или аренду у иностранных компаний. Это позволит сохранить парк воздушных судов и обеспечить достаточный объём пассажирских авиаперевозок.</w:t>
      </w:r>
    </w:p>
    <w:p w14:paraId="08EA1071"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 утвержденному порядку, отечественные авиакомпании могут зарегистрировать права собственности на эксплуатируемые иностранные самолёты и внести их в госреестр. Страхование, перестрахование и техническое обслуживание бортов будет осуществляться в России.</w:t>
      </w:r>
    </w:p>
    <w:p w14:paraId="16858736"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Вывоз самолётов из страны при наличии требования о досрочном возврате иностранного судна лизингодателю или арендодателю регулируется Указом Президента №100 «О применении в целях обеспечения безопасности Российской Федерации специальных экономических мер в сфере внешнеэкономической деятельности» и постановлением Правительства по реализации этого указа.</w:t>
      </w:r>
    </w:p>
    <w:p w14:paraId="1BA0D306"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03CC4DB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До конца 2024 года.</w:t>
      </w:r>
    </w:p>
    <w:p w14:paraId="4FCD6833"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162351C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декабря 2022 №2492</w:t>
      </w:r>
    </w:p>
    <w:p w14:paraId="64044229"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24 декабря 2022 №2422</w:t>
      </w:r>
    </w:p>
    <w:p w14:paraId="126B1210"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19 марта 2022 №412</w:t>
      </w:r>
    </w:p>
    <w:p w14:paraId="30A0AA42" w14:textId="77777777" w:rsidR="00631AFC" w:rsidRPr="00F10141" w:rsidRDefault="00631AFC" w:rsidP="00631AF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after="120"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19 марта 2022 №411</w:t>
      </w:r>
    </w:p>
    <w:p w14:paraId="27FD52D2" w14:textId="77777777" w:rsidR="00C55513" w:rsidRPr="00F10141" w:rsidRDefault="00C55513" w:rsidP="00EC5D36">
      <w:pPr>
        <w:rPr>
          <w:rFonts w:ascii="Times New Roman" w:hAnsi="Times New Roman" w:cs="Times New Roman"/>
        </w:rPr>
      </w:pPr>
    </w:p>
    <w:p w14:paraId="63176320" w14:textId="77777777" w:rsidR="000B359A" w:rsidRPr="00F10141" w:rsidRDefault="000B359A" w:rsidP="000B359A">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Сокращен срок согласования документов территориального планирования</w:t>
      </w:r>
    </w:p>
    <w:p w14:paraId="1342A156"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E342A7E"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согласования изменений в схемы территориального планирования регионов составит не более 10 дней (ранее – не более 1 месяца). Это касается проектов строительства, которые реализуются за счет бюджетных средств, реконструкции объектов регионального значения и приведения региональных схем территориального планирования в соответствие с документами территориального планирования страны. В остальных случаях согласование изменений в схемы территориального планирования составит не более 20 дней (ранее – не более 1 месяца).</w:t>
      </w:r>
    </w:p>
    <w:p w14:paraId="212C9F42"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 этом подготовка, согласование и опубликование проекта схемы территориального планирования будет проходить в электронном виде – с помощью федеральной государственной информационной системы территориального планирования. Это ускорит взаимодействие органов власти и организаций, отвечающих за территориальное планирование.</w:t>
      </w:r>
    </w:p>
    <w:p w14:paraId="6B5403DF"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Мера позволит регионам проще и быстрее согласовывать документы территориального планирования, необходимые для создания комфортной городской среды. </w:t>
      </w:r>
    </w:p>
    <w:p w14:paraId="4DB571EF"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F4B5FE3" w14:textId="77777777" w:rsidR="000B359A" w:rsidRPr="00F10141" w:rsidRDefault="000B359A" w:rsidP="000B359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октября 2022 года №1878</w:t>
      </w:r>
    </w:p>
    <w:p w14:paraId="244EB7A0" w14:textId="77777777" w:rsidR="00C55513" w:rsidRDefault="00C55513" w:rsidP="000B359A">
      <w:pPr>
        <w:rPr>
          <w:rFonts w:ascii="Times New Roman" w:hAnsi="Times New Roman" w:cs="Times New Roman"/>
        </w:rPr>
      </w:pPr>
    </w:p>
    <w:p w14:paraId="151B2D77" w14:textId="77777777" w:rsidR="003559A3" w:rsidRDefault="003559A3" w:rsidP="000B359A">
      <w:pPr>
        <w:rPr>
          <w:rFonts w:ascii="Times New Roman" w:hAnsi="Times New Roman" w:cs="Times New Roman"/>
        </w:rPr>
      </w:pPr>
    </w:p>
    <w:p w14:paraId="4EABF410" w14:textId="77777777" w:rsidR="003559A3" w:rsidRDefault="003559A3" w:rsidP="000B359A">
      <w:pPr>
        <w:rPr>
          <w:rFonts w:ascii="Times New Roman" w:hAnsi="Times New Roman" w:cs="Times New Roman"/>
        </w:rPr>
      </w:pPr>
    </w:p>
    <w:p w14:paraId="35BEEEBE" w14:textId="77777777" w:rsidR="003559A3" w:rsidRPr="00F10141" w:rsidRDefault="003559A3" w:rsidP="000B359A">
      <w:pPr>
        <w:rPr>
          <w:rFonts w:ascii="Times New Roman" w:hAnsi="Times New Roman" w:cs="Times New Roman"/>
        </w:rPr>
      </w:pPr>
    </w:p>
    <w:p w14:paraId="02A6D760" w14:textId="53D55738" w:rsidR="004E3C6F" w:rsidRPr="00F10141" w:rsidRDefault="004E3C6F" w:rsidP="004E3C6F">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Мониторинг льготных программ кредитования бизнеса</w:t>
      </w:r>
    </w:p>
    <w:p w14:paraId="55A13C11"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58A28E1"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информационный сервис позволит собрать сведения по льготным займам, выдаваемым кредитными организациями бизнесу в рамках госпрограмм. Сервис будет работать на базе блокчейн-платформы Федеральной налоговой службы (ФНС). К платформе уже подключены более 70 кредитных организаций, они прокредитовали около 1,4 тыс. компаний, в том числе системообразующие предприятия промышленности, торговли, агропромышленного сектора, энергетики.</w:t>
      </w:r>
    </w:p>
    <w:p w14:paraId="3122C7A7" w14:textId="7B428D58"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Кредитные организации, участвующие в программах льготного кредитования бизнеса, будут предоставлять данные о заявках по кредитам и о выданных займах не только в профильные министерства, но и в информационный сервис ФНС. </w:t>
      </w:r>
    </w:p>
    <w:p w14:paraId="0FE59668"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Подключение кредитной организации к распределенному реестру ФНС России</w:t>
      </w:r>
    </w:p>
    <w:p w14:paraId="6B127512" w14:textId="77777777"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E8FCF92" w14:textId="3667B5F0" w:rsidR="004E3C6F" w:rsidRPr="00F10141" w:rsidRDefault="004E3C6F" w:rsidP="004E3C6F">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08 июля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1221</w:t>
      </w:r>
    </w:p>
    <w:p w14:paraId="5415CDD0" w14:textId="77777777" w:rsidR="003559A3" w:rsidRPr="00F10141" w:rsidRDefault="003559A3" w:rsidP="00E84856">
      <w:pPr>
        <w:spacing w:line="240" w:lineRule="auto"/>
        <w:jc w:val="both"/>
        <w:rPr>
          <w:rFonts w:ascii="Times New Roman" w:hAnsi="Times New Roman" w:cs="Times New Roman"/>
          <w:b/>
          <w:sz w:val="24"/>
          <w:szCs w:val="24"/>
        </w:rPr>
      </w:pPr>
    </w:p>
    <w:p w14:paraId="55ED6F03" w14:textId="0E7D81A7" w:rsidR="003C1C67" w:rsidRPr="00F10141" w:rsidRDefault="003C1C67" w:rsidP="003C1C67">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Докапитализация авиакомпаний</w:t>
      </w:r>
    </w:p>
    <w:p w14:paraId="2225A1CB"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8BCAB23"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поддержки перевозчиков Правительство решило приобрести облигации трёх российских авиаперевозчиков: «Уральские авиалинии», «Сибирь» и «Аврора». На эти цели направлено 17 млрд рублей из Фонда национального благосостояния.</w:t>
      </w:r>
    </w:p>
    <w:p w14:paraId="65849ADE"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приобретение облигаций авиакомпании «Сибирь» предусмотрено более 13,7 млрд рублей, «Уральских авиалиний» – около 3 млрд рублей, «Авроры» – почти 366 млн рублей.</w:t>
      </w:r>
    </w:p>
    <w:p w14:paraId="35EE7428" w14:textId="77777777"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C4E00C8" w14:textId="43BB7BEC" w:rsidR="000109B9" w:rsidRPr="00F10141" w:rsidRDefault="000109B9" w:rsidP="000109B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1015</w:t>
      </w:r>
    </w:p>
    <w:p w14:paraId="1917A96A" w14:textId="77777777" w:rsidR="00EB405F" w:rsidRPr="00F10141" w:rsidRDefault="00EB405F" w:rsidP="009542DA">
      <w:pPr>
        <w:spacing w:line="240" w:lineRule="auto"/>
        <w:jc w:val="both"/>
        <w:rPr>
          <w:rFonts w:ascii="Times New Roman" w:hAnsi="Times New Roman" w:cs="Times New Roman"/>
          <w:b/>
          <w:sz w:val="24"/>
          <w:szCs w:val="24"/>
        </w:rPr>
      </w:pPr>
    </w:p>
    <w:p w14:paraId="5CFDF296" w14:textId="1C716D66" w:rsidR="000B445A" w:rsidRPr="00F10141" w:rsidRDefault="000B445A" w:rsidP="000B445A">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Создание селекционно-племенного птицеводческого комплекса</w:t>
      </w:r>
    </w:p>
    <w:p w14:paraId="15505842"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656A7CE"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Селекционно-племенной птицеводческий комплекс построят в Подмосковье. Предприятие позволит обеспечить российские птицефабрики отечественными мясными породами кур, преодолеть зависимость птицеводов от импорта племенного материала и повысить продовольственную безопасность страны. </w:t>
      </w:r>
    </w:p>
    <w:p w14:paraId="42A4416B"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Общая стоимость строительства комплекса составит 5 млрд рублей. 4,5 млрд рублей выделено в этом году. Оставшиеся 500 млн рублей, необходимые для завершения работ, планируется выделить в 2023 году.</w:t>
      </w:r>
    </w:p>
    <w:p w14:paraId="6B82E3FC"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E354614" w14:textId="77777777" w:rsidR="000B445A" w:rsidRPr="00F10141" w:rsidRDefault="000B445A" w:rsidP="000B445A">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профинансирует строительство селекционно-племенного комплекса в Подмосковье</w:t>
      </w:r>
    </w:p>
    <w:p w14:paraId="3EE4C25E" w14:textId="77777777" w:rsidR="00455012" w:rsidRPr="00F10141" w:rsidRDefault="00455012" w:rsidP="00455012">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Легализация параллельного импорта</w:t>
      </w:r>
    </w:p>
    <w:p w14:paraId="6901578E"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7388C065"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разрешило ввоз в страну востребованных оригинальных товаров иностранного производства без согласия правообладателей. При этом гражданско-правовая ответственность за ввоз продукции импортерами в обход официальных каналов дистрибуции (параллельный импорт) отменена, но параллельный импорт в первую очередь призван исключить ответственность за оборот продукции именно внутри страны без согласия правообладателя.</w:t>
      </w:r>
    </w:p>
    <w:p w14:paraId="0A33E3BD"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товаров сформировал Минпромторг России. В список внесены автомобили и запчасти, электроника, бытовая техника, одежда, обувь, косметика, музыкальные инструменты, часы, мебель, бумага и картон, промышленное оборудование и материалы, фармацевтическая продукция и др.</w:t>
      </w:r>
    </w:p>
    <w:p w14:paraId="4078FF22"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В отношении товаров из перечня, ввозимых в страну в рамках параллельного импорта, будут осуществляться все необходимые таможенные и контрольные процедуры. </w:t>
      </w:r>
    </w:p>
    <w:p w14:paraId="4FD39E72"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Легализация параллельного импорта поможет обеспечить внутренний рынок востребованными товарами и позволит стабилизировать цены на них.</w:t>
      </w:r>
    </w:p>
    <w:p w14:paraId="1D0979E9"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22990FC4"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Ввоз товаров из перечня, утверждённого приказом Минпромторга.</w:t>
      </w:r>
    </w:p>
    <w:p w14:paraId="4C0CF57F" w14:textId="77777777"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417B889" w14:textId="01FE59A1"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Приказ Министерства промышленности и торговли от 19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1532</w:t>
      </w:r>
    </w:p>
    <w:p w14:paraId="2A811A19" w14:textId="0A8DEE5F" w:rsidR="00455012" w:rsidRPr="00F10141" w:rsidRDefault="00455012" w:rsidP="0045501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Правительства от 29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506</w:t>
      </w:r>
    </w:p>
    <w:p w14:paraId="638583F2" w14:textId="77777777" w:rsidR="003559A3" w:rsidRDefault="003559A3" w:rsidP="003559A3">
      <w:pPr>
        <w:spacing w:line="240" w:lineRule="auto"/>
        <w:jc w:val="both"/>
        <w:rPr>
          <w:rFonts w:ascii="Times New Roman" w:hAnsi="Times New Roman" w:cs="Times New Roman"/>
          <w:b/>
          <w:sz w:val="24"/>
          <w:szCs w:val="24"/>
        </w:rPr>
      </w:pPr>
    </w:p>
    <w:p w14:paraId="174A9A7C" w14:textId="77777777" w:rsidR="00EE47C0" w:rsidRDefault="00EE47C0" w:rsidP="003559A3">
      <w:pPr>
        <w:spacing w:line="240" w:lineRule="auto"/>
        <w:jc w:val="both"/>
        <w:rPr>
          <w:rFonts w:ascii="Times New Roman" w:hAnsi="Times New Roman" w:cs="Times New Roman"/>
          <w:b/>
          <w:sz w:val="24"/>
          <w:szCs w:val="24"/>
        </w:rPr>
      </w:pPr>
    </w:p>
    <w:p w14:paraId="24155845" w14:textId="77777777" w:rsidR="00EE47C0" w:rsidRDefault="00EE47C0" w:rsidP="003559A3">
      <w:pPr>
        <w:spacing w:line="240" w:lineRule="auto"/>
        <w:jc w:val="both"/>
        <w:rPr>
          <w:rFonts w:ascii="Times New Roman" w:hAnsi="Times New Roman" w:cs="Times New Roman"/>
          <w:b/>
          <w:sz w:val="24"/>
          <w:szCs w:val="24"/>
        </w:rPr>
      </w:pPr>
    </w:p>
    <w:p w14:paraId="0E41BC25" w14:textId="0ED11671" w:rsidR="003F03A3" w:rsidRPr="00F10141" w:rsidRDefault="003F03A3" w:rsidP="003F03A3">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Увеличение резервного фонда Правительства</w:t>
      </w:r>
    </w:p>
    <w:p w14:paraId="1A726601"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1BFF660"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Резервный фонд Правительства РФ увеличится на 1,345 трлн рублей. Источники увеличения – неиспользованные средства федерального бюджета (образовавшиеся на 1 января 2022 года) и дополнительные нефтегазовые доходы, полученные в 2022 году. Эти средства направят в том числе и на обеспечение стабильности экономики в условиях санкций.</w:t>
      </w:r>
    </w:p>
    <w:p w14:paraId="51708E78"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Резервный фонд Правительства создан для финансирования непредвиденных расходов и мероприятий федерального значения, не предусмотренных в законе о федеральном бюджете на соответствующий финансовый год.</w:t>
      </w:r>
    </w:p>
    <w:p w14:paraId="088B4BD0"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из фонда направляются на социально значимые цели. В 2022 году фонд уже стал источником финансирования ежемесячных выплат на детей от 8 до 17 лет, закупок бесплатных лекарств для больных коронавирусом, переобучения безработных, поддержки IT-отрасли, предоставления льготных займов промышленным предприятиям.</w:t>
      </w:r>
    </w:p>
    <w:p w14:paraId="639A961F" w14:textId="77777777"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D883346" w14:textId="15C121EC"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22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1637-р</w:t>
      </w:r>
    </w:p>
    <w:p w14:paraId="622464FB" w14:textId="2D3F2990" w:rsidR="009E51B8"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7 июня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1473-р</w:t>
      </w:r>
    </w:p>
    <w:p w14:paraId="10CCF060" w14:textId="6B2A4716" w:rsidR="00CF2C37" w:rsidRPr="00F10141" w:rsidRDefault="009E51B8" w:rsidP="009E51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7 мая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1115-р</w:t>
      </w:r>
    </w:p>
    <w:p w14:paraId="08951363" w14:textId="77777777" w:rsidR="009E51B8" w:rsidRPr="00F10141" w:rsidRDefault="009E51B8" w:rsidP="009E51B8">
      <w:pPr>
        <w:spacing w:line="240" w:lineRule="auto"/>
        <w:jc w:val="both"/>
        <w:rPr>
          <w:rFonts w:ascii="Times New Roman" w:hAnsi="Times New Roman" w:cs="Times New Roman"/>
          <w:b/>
          <w:sz w:val="24"/>
          <w:szCs w:val="24"/>
        </w:rPr>
      </w:pPr>
    </w:p>
    <w:p w14:paraId="605609D4" w14:textId="0AEBC14C" w:rsidR="004920F1" w:rsidRPr="00F10141" w:rsidRDefault="004920F1" w:rsidP="00147BFD">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Расширение пунктов пропуска через границу</w:t>
      </w:r>
    </w:p>
    <w:p w14:paraId="4C4F8E4B"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312AA04"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Пункты пропуска через государственную границу России оборудуют дополнительными местами для проверки товаров. Это позволит увеличить грузопоток и ускорить ввоз необходимой продукции в страну.</w:t>
      </w:r>
    </w:p>
    <w:p w14:paraId="116ABBA2"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идет о трёх пунктах:</w:t>
      </w:r>
    </w:p>
    <w:p w14:paraId="7434F987" w14:textId="08D5DA06"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морской пункт пропуска Кавказ, через который прибывают товары из Турции,</w:t>
      </w:r>
    </w:p>
    <w:p w14:paraId="03630924" w14:textId="2C44092D"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автомобильный пункт пропуска Яраг-Казмаляр на российско-азербайджанской границе,</w:t>
      </w:r>
    </w:p>
    <w:p w14:paraId="1CDFCB71" w14:textId="6C5BD58E"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w:t>
      </w:r>
      <w:r w:rsidR="001373F1" w:rsidRPr="00F10141">
        <w:rPr>
          <w:rFonts w:ascii="Times New Roman" w:hAnsi="Times New Roman" w:cs="Times New Roman"/>
          <w:sz w:val="24"/>
          <w:szCs w:val="24"/>
        </w:rPr>
        <w:t xml:space="preserve">   </w:t>
      </w:r>
      <w:r w:rsidRPr="00F10141">
        <w:rPr>
          <w:rFonts w:ascii="Times New Roman" w:hAnsi="Times New Roman" w:cs="Times New Roman"/>
          <w:sz w:val="24"/>
          <w:szCs w:val="24"/>
        </w:rPr>
        <w:t xml:space="preserve">  автомобильный пункт пропуска Верхний Ларс на российско-грузинской границе, через который идут поставки из Азербайджана, Армении, Грузии, Турции и Ирана.</w:t>
      </w:r>
    </w:p>
    <w:p w14:paraId="380FC0FA"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Также будет ускорена модернизация более 300 российских пунктов пропуска и повышена их пропускная способность. В 2022 году закупка материалов и оборудования для ремонта и оснащения погранпунктов будет проходить по упрощённой схеме – через электронный запрос котировок, что позволит значительно сократить сроки таких закупок. </w:t>
      </w:r>
    </w:p>
    <w:p w14:paraId="22764026" w14:textId="77777777"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D280AC4" w14:textId="2F2756A5" w:rsidR="004920F1" w:rsidRPr="00F10141" w:rsidRDefault="004920F1" w:rsidP="004920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Постановления Правительства от 29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777,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778, распоряжения от 29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1069-р,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1070-р.</w:t>
      </w:r>
    </w:p>
    <w:p w14:paraId="37E62899" w14:textId="77777777" w:rsidR="00844670" w:rsidRPr="00F10141" w:rsidRDefault="00844670" w:rsidP="00844670">
      <w:pPr>
        <w:spacing w:line="240" w:lineRule="auto"/>
        <w:jc w:val="both"/>
        <w:rPr>
          <w:rFonts w:ascii="Times New Roman" w:hAnsi="Times New Roman" w:cs="Times New Roman"/>
          <w:b/>
          <w:sz w:val="24"/>
          <w:szCs w:val="24"/>
        </w:rPr>
      </w:pPr>
    </w:p>
    <w:p w14:paraId="5F882765" w14:textId="79749143" w:rsidR="00147BFD" w:rsidRPr="00F10141" w:rsidRDefault="00147BFD" w:rsidP="00147BFD">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Упрощение правил регистрации медизделий</w:t>
      </w:r>
    </w:p>
    <w:p w14:paraId="055C44C2"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FC66BA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Принято решение об упрощении процедуры государственной регистрации медицинских изделий, что позволит избежать их дефицита.</w:t>
      </w:r>
    </w:p>
    <w:p w14:paraId="3A1C500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Госрегистрация требуется для вывода медицинских изделий – ввезённых из-за границы или произведённых в России – на рынок. Упрощённая процедура позволит получить все необходимые для этого документы в максимально короткие сроки. Так, для отдельных медизделий срок регистрации будет сокращён с 50 до 22 рабочих дней, для других – до 5 рабочих дней.</w:t>
      </w:r>
    </w:p>
    <w:p w14:paraId="6B367055"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медицинских изделий, которые можно будет регистрировать в упрощённом порядке, определит специальная межведомственная комиссия. Она будет создана в ближайшее время. В её состав в том числе войдут представители Минздрава, Минпромторга, Минфина, Минэкономразвития, Федеральной антимонопольной службы, Федеральной таможенной службы, Федеральной налоговой службы.</w:t>
      </w:r>
    </w:p>
    <w:p w14:paraId="54B945B1" w14:textId="5AA4F067" w:rsidR="006E68DE" w:rsidRPr="00F10141" w:rsidRDefault="006E68DE"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2EAF425" w14:textId="2AA9AAB5" w:rsidR="006E68DE" w:rsidRPr="00F10141" w:rsidRDefault="006E68DE"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 1 января 2025 года</w:t>
      </w:r>
    </w:p>
    <w:p w14:paraId="228066A4" w14:textId="77777777"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2EE5B80" w14:textId="1333B576" w:rsidR="00147BFD" w:rsidRPr="00F10141" w:rsidRDefault="00147BFD"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552</w:t>
      </w:r>
    </w:p>
    <w:p w14:paraId="21A79959" w14:textId="5A16A94B" w:rsidR="002D5B2C" w:rsidRPr="00F10141" w:rsidRDefault="002D5B2C" w:rsidP="00147BF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сентября 2022 года № 1463</w:t>
      </w:r>
    </w:p>
    <w:p w14:paraId="529905A7" w14:textId="77777777" w:rsidR="0076029D" w:rsidRPr="00F10141" w:rsidRDefault="0076029D" w:rsidP="00147BFD">
      <w:pPr>
        <w:spacing w:line="240" w:lineRule="auto"/>
        <w:jc w:val="both"/>
        <w:rPr>
          <w:rFonts w:ascii="Times New Roman" w:hAnsi="Times New Roman" w:cs="Times New Roman"/>
          <w:b/>
          <w:sz w:val="24"/>
          <w:szCs w:val="24"/>
        </w:rPr>
      </w:pPr>
    </w:p>
    <w:p w14:paraId="1C567C22" w14:textId="03BA49AD" w:rsidR="00AE5337" w:rsidRPr="00F10141" w:rsidRDefault="00AE5337" w:rsidP="00AE5337">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Докапитализация «РЖД»</w:t>
      </w:r>
    </w:p>
    <w:p w14:paraId="64BDD35B"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1623847"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докапитализирует «Российские железные дороги» («РЖД») за счёт средств Фонда национального благосостояния (ФНБ). Средства будут направлены в том числе на развитие железнодорожной инфраструктуры и подвижного состава. Это позволит обеспечить бесперебойную работу целого ряда отраслей экономики, деятельность которых напрямую зависит от железнодорожных перевозок.</w:t>
      </w:r>
    </w:p>
    <w:p w14:paraId="31CE0CB9"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о докапитализации принято в рамках плана первоочередных действий по обеспечению развития российской экономики в условиях внешних санкций. Речь идёт о приобретении за счёт средств ФНБ по закрытой подписке привилегированных акций «РЖД» на сумму 250 млрд рублей.</w:t>
      </w:r>
    </w:p>
    <w:p w14:paraId="2889FBD7"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будут направлены на:</w:t>
      </w:r>
    </w:p>
    <w:p w14:paraId="201D93B9"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модернизацию железнодорожной инфраструктуры БАМа и Транссиба;</w:t>
      </w:r>
    </w:p>
    <w:p w14:paraId="32B79115"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развитие железнодорожной инфраструктуры Центрального транспортного узла;</w:t>
      </w:r>
    </w:p>
    <w:p w14:paraId="5715E7D8"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тягового подвижного состава, необходимого для обеспечения бесперебойных перевозок и удовлетворения спроса в том числе на локомотивную тягу;</w:t>
      </w:r>
    </w:p>
    <w:p w14:paraId="1476CC2D"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моторвагонного подвижного состава;</w:t>
      </w:r>
    </w:p>
    <w:p w14:paraId="517C7FF0"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приобретение вагонов дальнего следования.</w:t>
      </w:r>
    </w:p>
    <w:p w14:paraId="63D9199B"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Все средства направляются на поддержку реализации инвестиционной программы «РЖД», которая в свою очередь определяет динамику многих отраслей отечественной экономики. В частности, она задаёт темпы качественного роста в добывающей, обрабатывающей промышленности, в высокотехнологических отраслях, отраслях транспортного машиностроения, позволяет обеспечивать заказами смежные отрасли экономики и сохранить сотни тысяч рабочих мест.</w:t>
      </w:r>
    </w:p>
    <w:p w14:paraId="14768348" w14:textId="7777777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1CA9118B" w14:textId="29554087" w:rsidR="00AE5337" w:rsidRPr="00F10141" w:rsidRDefault="00AE5337" w:rsidP="00AE53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6 апреля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602</w:t>
      </w:r>
    </w:p>
    <w:p w14:paraId="5B2BFCCB" w14:textId="77777777" w:rsidR="00666D47" w:rsidRDefault="00666D47" w:rsidP="004920F1">
      <w:pPr>
        <w:spacing w:line="240" w:lineRule="auto"/>
        <w:jc w:val="both"/>
        <w:rPr>
          <w:rFonts w:ascii="Times New Roman" w:hAnsi="Times New Roman" w:cs="Times New Roman"/>
          <w:b/>
          <w:sz w:val="24"/>
          <w:szCs w:val="24"/>
        </w:rPr>
      </w:pPr>
    </w:p>
    <w:p w14:paraId="61E82502" w14:textId="77777777" w:rsidR="00EE47C0" w:rsidRDefault="00EE47C0" w:rsidP="004920F1">
      <w:pPr>
        <w:spacing w:line="240" w:lineRule="auto"/>
        <w:jc w:val="both"/>
        <w:rPr>
          <w:rFonts w:ascii="Times New Roman" w:hAnsi="Times New Roman" w:cs="Times New Roman"/>
          <w:b/>
          <w:sz w:val="24"/>
          <w:szCs w:val="24"/>
        </w:rPr>
      </w:pPr>
    </w:p>
    <w:p w14:paraId="21E0A4AE" w14:textId="77777777" w:rsidR="00EE47C0" w:rsidRDefault="00EE47C0" w:rsidP="004920F1">
      <w:pPr>
        <w:spacing w:line="240" w:lineRule="auto"/>
        <w:jc w:val="both"/>
        <w:rPr>
          <w:rFonts w:ascii="Times New Roman" w:hAnsi="Times New Roman" w:cs="Times New Roman"/>
          <w:b/>
          <w:sz w:val="24"/>
          <w:szCs w:val="24"/>
        </w:rPr>
      </w:pPr>
    </w:p>
    <w:p w14:paraId="421A70B7" w14:textId="77777777" w:rsidR="00EE47C0" w:rsidRDefault="00EE47C0" w:rsidP="004920F1">
      <w:pPr>
        <w:spacing w:line="240" w:lineRule="auto"/>
        <w:jc w:val="both"/>
        <w:rPr>
          <w:rFonts w:ascii="Times New Roman" w:hAnsi="Times New Roman" w:cs="Times New Roman"/>
          <w:b/>
          <w:sz w:val="24"/>
          <w:szCs w:val="24"/>
        </w:rPr>
      </w:pPr>
    </w:p>
    <w:p w14:paraId="47469917" w14:textId="2F6C9F96" w:rsidR="0095112E" w:rsidRPr="0095112E" w:rsidRDefault="003052B8" w:rsidP="00246492">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95112E">
        <w:rPr>
          <w:rFonts w:ascii="Times New Roman" w:hAnsi="Times New Roman" w:cs="Times New Roman"/>
          <w:b/>
          <w:sz w:val="24"/>
          <w:szCs w:val="24"/>
        </w:rPr>
        <w:t>Льготы на ввоз продуктов и сырья</w:t>
      </w:r>
    </w:p>
    <w:p w14:paraId="03F1B93E"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B5C25E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1. Совет Евразийской экономической комиссии по инициативе Российской Федерации принял решение освободить на 6 месяцев от ввозной таможенной пошлины продовольственные товары и товары, используемые в их производстве. Решение, в частности, касается животной и молочной продукции, овощей, семян подсолнечника, соков, сахаров, какао-порошка, аминокислот, крахмалов, ферментов и прочих пищевых продуктов.</w:t>
      </w:r>
    </w:p>
    <w:p w14:paraId="5DBD351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 Также на полгода от импортной пошлины освобождены товары для производства и реализации продовольственной продукции; товары для производства фармацевтической, металлургической и электронной продукции; товары, используемые для развития цифровых технологий; товары для производства продукции легкой промышленности, а также товары, применяемые в строительной и транспортной отраслях.</w:t>
      </w:r>
    </w:p>
    <w:p w14:paraId="25722204"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3. Обнулены ставки на:</w:t>
      </w:r>
    </w:p>
    <w:p w14:paraId="73B57F9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абрикосовое, грушевое, персиковое и прочее пюре в упаковках более 40 кг;</w:t>
      </w:r>
    </w:p>
    <w:p w14:paraId="4CA2811C"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анилин;</w:t>
      </w:r>
    </w:p>
    <w:p w14:paraId="5AAD1757"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ряд видов тканей для производства верхней одежды.</w:t>
      </w:r>
    </w:p>
    <w:p w14:paraId="71A33B5E"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Решения позволят не допустить дефицита критически важных товаров на рынке и снизят рост цен для конечного потребителя.</w:t>
      </w:r>
    </w:p>
    <w:p w14:paraId="0CB51E83"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B6036F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п.1: с 28 марта по 31 марта 2023 года.</w:t>
      </w:r>
    </w:p>
    <w:p w14:paraId="158CBA3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с 28 марта по 31 марта 2023 года.</w:t>
      </w:r>
    </w:p>
    <w:p w14:paraId="47BA1948" w14:textId="15AFD69F"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пюре – с 28 марта по 30 апреля 2023 года, ткани – по 30 апреля 2025 года, анилин – по 30 апреля 2025 года.</w:t>
      </w:r>
    </w:p>
    <w:p w14:paraId="3C3C8879"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94C575B" w14:textId="15C957F9" w:rsidR="00853AC5"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п.1 – импорт продовольственных товаров и сырья, включенных в приложение №1 к Решению Совета Евразийской экономической комиссии от 17 марта 2022 года № 37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6807DA32"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 импорт товаров, включенных в приложения № 2–9 к Решению Совета Евразийской экономической комиссии от 17 марта 2022 года № 37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170D4075"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 импорт товаров.</w:t>
      </w:r>
    </w:p>
    <w:p w14:paraId="3B195CB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8EDFE1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В части п.1 – автоматически. </w:t>
      </w:r>
    </w:p>
    <w:p w14:paraId="1240CCC7"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п.2 – необходимо наличие документа, подтверждающего целевое назначение товара, выданного профильным федеральным органом исполнительной власти (Минпромторг, Минсельхоз, Минтранс и др.)</w:t>
      </w:r>
    </w:p>
    <w:p w14:paraId="28021DC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п.3 – автоматически при ввозе товара.</w:t>
      </w:r>
    </w:p>
    <w:p w14:paraId="2B66CD0D"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A25E1AA"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Коллегии ЕЭК от 25 октября 2022 года № 154 «Об установлении ставок ввозных таможенных пошлин Единого таможенного тарифа Евразийского экономического союза в отношении отдельных видов пищевых продуктов и кнопочных переключателей»</w:t>
      </w:r>
    </w:p>
    <w:p w14:paraId="7300B47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ЕЭК от 17 октября 2022 года № 159 «О внесении изменений в Решение Комиссии Таможенного союза от 27 ноября 2009 г. № 130 и некоторые решения Совета Евразийской экономической комиссии в отношении отдельных видов товаров для производства и реализации продовольственной и парфюмерно-косметической продукции, а также тканей и нитей»</w:t>
      </w:r>
    </w:p>
    <w:p w14:paraId="52F0DC44"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Коллегии ЕЭК от 28 сентября 2022 года №135 «Об установлении ставок ввозных таможенных пошлин Единого таможенного тарифа Евразийского экономического союза в отношении отдельных видов товаров, ввозимых на таможенную территорию Евразийского экономического союза в целях обеспечения устойчивости экономик государств – членов Евразийского экономического союза»</w:t>
      </w:r>
    </w:p>
    <w:p w14:paraId="74FAB35A"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ЕЭК от 23 сентября 2022 года №150 «Об установлении ставок ввозных таможенных пошлин Единого таможенного тарифа Евразийского экономического союза в отношении отдельных видов товаров, а также о внесении изменений в некоторые решения Комиссии Таможенного союза и Совета Евразийской экономической комиссии»</w:t>
      </w:r>
    </w:p>
    <w:p w14:paraId="5E565EBF" w14:textId="77777777" w:rsidR="00853AC5" w:rsidRPr="00F10141" w:rsidRDefault="00853AC5" w:rsidP="007F207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Совета Евразийской экономической комиссии от 17 марта 2022 года №37 «О внесении изменений в некоторые решения Комиссии Таможенного союза и об утверждении перечней товаров, ввозимых на таможенную территорию Евразийского экономического союза в целях реализации мер, направленных на повышение устойчивости экономик государств – членов Евразийского экономического союза»</w:t>
      </w:r>
    </w:p>
    <w:p w14:paraId="0756F571" w14:textId="77777777" w:rsidR="003559A3" w:rsidRPr="00F10141" w:rsidRDefault="003559A3" w:rsidP="007F2074">
      <w:pPr>
        <w:spacing w:line="240" w:lineRule="auto"/>
        <w:jc w:val="both"/>
        <w:rPr>
          <w:rFonts w:ascii="Times New Roman" w:hAnsi="Times New Roman" w:cs="Times New Roman"/>
          <w:b/>
          <w:sz w:val="24"/>
          <w:szCs w:val="24"/>
        </w:rPr>
      </w:pPr>
    </w:p>
    <w:p w14:paraId="6AA0E7FE" w14:textId="77777777" w:rsidR="006F523F" w:rsidRPr="00F10141" w:rsidRDefault="006F523F" w:rsidP="001373F1">
      <w:pPr>
        <w:pStyle w:val="a5"/>
        <w:numPr>
          <w:ilvl w:val="0"/>
          <w:numId w:val="2"/>
        </w:numP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Стабилизация цен на сельхозпродукцию</w:t>
      </w:r>
    </w:p>
    <w:p w14:paraId="39F0EBA1"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A8C544E"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расширило перечень случаев использования резервов госфонда для стабилизации внутренних цен на сельхозпродукцию, в том числе сахар. Постановление об этом подписано.</w:t>
      </w:r>
    </w:p>
    <w:p w14:paraId="248B25DB"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идёт о фонде, который формируется в ходе государственных закупочных интервенций. Государство закупает продукцию у аграриев в этот фонд, когда цены на рынке низкие. В случае заметного роста цен – продаёт, тем самым стабилизируя ситуацию на рынке. До недавнего времени государственные интервенции проводились только на рынке зерна, но в июне 2021 года было принято решение о формировании государственного интервенционного фонда на рынке сахара.</w:t>
      </w:r>
    </w:p>
    <w:p w14:paraId="0937FD28"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Согласно новым правилам, Правительство сможет принимать решение о продаже сельхозпродукции из госфонда при росте цен на эту продукцию на 10% и выше по сравнению со средней ценой за аналогичные периоды трёх предыдущих лет, скорректированной с учётом инфляции.</w:t>
      </w:r>
    </w:p>
    <w:p w14:paraId="43F79CA8"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предприятий и организаций, которым будет реализовываться эта продукция, уполномочен определять Минсельхоз по согласованию с Минэкономразвития, Минфином и Федеральной антимонопольной службой.</w:t>
      </w:r>
    </w:p>
    <w:p w14:paraId="0D41AA8F" w14:textId="77777777" w:rsidR="006F523F"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Дополнительно новым постановлением предусмотрена возможность передачи сельскохозяйственной продукции от одного хранителя к другому, если есть риск снижения сохранности такой продукции или ухудшения её качества.</w:t>
      </w:r>
    </w:p>
    <w:p w14:paraId="2B38D50A" w14:textId="77777777" w:rsidR="00CA37E7" w:rsidRPr="00F10141" w:rsidRDefault="006F523F"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случае экономической нецелесообразности такой передачи продукция может быть реализована по рыночной цене, а если такой возможности нет – по цене закупки.</w:t>
      </w:r>
    </w:p>
    <w:p w14:paraId="3E51B71A" w14:textId="77777777" w:rsidR="00CA37E7" w:rsidRPr="00F10141" w:rsidRDefault="0022013C"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5FEA2B72" w14:textId="74D70BF0" w:rsidR="0022013C" w:rsidRPr="00F10141" w:rsidRDefault="0022013C"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DEEAF6" w:themeFill="accent1"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26 февраля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235</w:t>
      </w:r>
    </w:p>
    <w:p w14:paraId="3591ADCD" w14:textId="77777777" w:rsidR="00262254" w:rsidRPr="00F10141" w:rsidRDefault="00262254" w:rsidP="00E24F1D">
      <w:pPr>
        <w:spacing w:line="240" w:lineRule="auto"/>
        <w:jc w:val="both"/>
        <w:rPr>
          <w:rFonts w:ascii="Times New Roman" w:hAnsi="Times New Roman" w:cs="Times New Roman"/>
          <w:b/>
          <w:sz w:val="24"/>
          <w:szCs w:val="24"/>
        </w:rPr>
      </w:pPr>
    </w:p>
    <w:p w14:paraId="1AEE6ACB" w14:textId="6DE12CE5" w:rsidR="006F523F" w:rsidRPr="00F10141" w:rsidRDefault="00DE6585" w:rsidP="00010CAD">
      <w:pPr>
        <w:pStyle w:val="1"/>
        <w:rPr>
          <w:rFonts w:ascii="Times New Roman" w:hAnsi="Times New Roman" w:cs="Times New Roman"/>
          <w:b/>
          <w:sz w:val="24"/>
          <w:szCs w:val="24"/>
        </w:rPr>
      </w:pPr>
      <w:bookmarkStart w:id="7" w:name="_Toc178606972"/>
      <w:r w:rsidRPr="00F10141">
        <w:rPr>
          <w:rFonts w:ascii="Times New Roman" w:hAnsi="Times New Roman" w:cs="Times New Roman"/>
          <w:b/>
          <w:sz w:val="24"/>
          <w:szCs w:val="24"/>
        </w:rPr>
        <w:t>НАЛОГИ</w:t>
      </w:r>
      <w:bookmarkEnd w:id="7"/>
    </w:p>
    <w:p w14:paraId="537AB22E" w14:textId="77777777" w:rsidR="0076029D" w:rsidRPr="00F10141" w:rsidRDefault="0076029D" w:rsidP="00666D47">
      <w:pPr>
        <w:spacing w:line="240" w:lineRule="auto"/>
        <w:jc w:val="both"/>
        <w:rPr>
          <w:rFonts w:ascii="Times New Roman" w:hAnsi="Times New Roman" w:cs="Times New Roman"/>
          <w:b/>
          <w:sz w:val="24"/>
          <w:szCs w:val="24"/>
        </w:rPr>
      </w:pPr>
    </w:p>
    <w:p w14:paraId="3E76E75C" w14:textId="1C428A1A" w:rsidR="006E3319" w:rsidRPr="00F10141" w:rsidRDefault="006E3319" w:rsidP="006E331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Освобождение от НДС ввозимого оборудования</w:t>
      </w:r>
    </w:p>
    <w:p w14:paraId="72968DCF" w14:textId="77777777"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4CB32CA" w14:textId="77777777"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перечень оборудования, ввоз которого освобождается от налога на добавленную стоимость (НДС), внесены новые позиции:</w:t>
      </w:r>
    </w:p>
    <w:p w14:paraId="03B179B2" w14:textId="62CCD077"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комплекс оборудования для производства крупногабаритных железобетонных модулей для жилищного строительства,</w:t>
      </w:r>
    </w:p>
    <w:p w14:paraId="055B4B99" w14:textId="7B779AC2"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линейка оборудования для изготовления плит МДФ,</w:t>
      </w:r>
    </w:p>
    <w:p w14:paraId="5052785D" w14:textId="100B9533"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прокатные станы для производства рельсов, балок и профилей,</w:t>
      </w:r>
    </w:p>
    <w:p w14:paraId="6913C889" w14:textId="7E58B9E6"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газотурбинные генераторные установки,</w:t>
      </w:r>
    </w:p>
    <w:p w14:paraId="424CC421" w14:textId="79A557D5"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мотальные автоматы,</w:t>
      </w:r>
    </w:p>
    <w:p w14:paraId="0E545BF2" w14:textId="3B1CD6F2"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фальцевальные и швейные машины,</w:t>
      </w:r>
    </w:p>
    <w:p w14:paraId="2E97E961" w14:textId="23D2A46D"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принтеры,</w:t>
      </w:r>
    </w:p>
    <w:p w14:paraId="153C98C1" w14:textId="486A9989" w:rsidR="006E3319" w:rsidRPr="00F10141" w:rsidRDefault="006E3319" w:rsidP="001373F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ind w:firstLine="708"/>
        <w:jc w:val="both"/>
        <w:rPr>
          <w:rFonts w:ascii="Times New Roman" w:hAnsi="Times New Roman" w:cs="Times New Roman"/>
          <w:sz w:val="24"/>
          <w:szCs w:val="24"/>
        </w:rPr>
      </w:pPr>
      <w:r w:rsidRPr="00F10141">
        <w:rPr>
          <w:rFonts w:ascii="Times New Roman" w:hAnsi="Times New Roman" w:cs="Times New Roman"/>
          <w:sz w:val="24"/>
          <w:szCs w:val="24"/>
        </w:rPr>
        <w:t>другие изделия.</w:t>
      </w:r>
    </w:p>
    <w:p w14:paraId="0D1A41DB" w14:textId="435D36F0" w:rsidR="006E3319" w:rsidRPr="00F10141" w:rsidRDefault="006E3319" w:rsidP="006E331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Освобождение такого оборудования от НДС позволит сократить отвлечение оборотных средств предприятий, которые его используют.</w:t>
      </w:r>
    </w:p>
    <w:p w14:paraId="2DFF4EC3" w14:textId="77777777" w:rsidR="00C00F2F" w:rsidRDefault="00C00F2F" w:rsidP="006E3319">
      <w:pPr>
        <w:spacing w:line="240" w:lineRule="auto"/>
        <w:jc w:val="both"/>
        <w:rPr>
          <w:rFonts w:ascii="Times New Roman" w:hAnsi="Times New Roman" w:cs="Times New Roman"/>
          <w:b/>
          <w:sz w:val="24"/>
          <w:szCs w:val="24"/>
        </w:rPr>
      </w:pPr>
    </w:p>
    <w:p w14:paraId="2CD70CD0" w14:textId="77777777" w:rsidR="00EE47C0" w:rsidRDefault="00EE47C0" w:rsidP="006E3319">
      <w:pPr>
        <w:spacing w:line="240" w:lineRule="auto"/>
        <w:jc w:val="both"/>
        <w:rPr>
          <w:rFonts w:ascii="Times New Roman" w:hAnsi="Times New Roman" w:cs="Times New Roman"/>
          <w:b/>
          <w:sz w:val="24"/>
          <w:szCs w:val="24"/>
        </w:rPr>
      </w:pPr>
    </w:p>
    <w:p w14:paraId="51134F6B" w14:textId="77777777" w:rsidR="00EE47C0" w:rsidRPr="00F10141" w:rsidRDefault="00EE47C0" w:rsidP="006E3319">
      <w:pPr>
        <w:spacing w:line="240" w:lineRule="auto"/>
        <w:jc w:val="both"/>
        <w:rPr>
          <w:rFonts w:ascii="Times New Roman" w:hAnsi="Times New Roman" w:cs="Times New Roman"/>
          <w:b/>
          <w:sz w:val="24"/>
          <w:szCs w:val="24"/>
        </w:rPr>
      </w:pPr>
    </w:p>
    <w:p w14:paraId="28C45997" w14:textId="77777777" w:rsidR="00457238" w:rsidRPr="00F10141" w:rsidRDefault="00457238" w:rsidP="00457238">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Отмена акциза на жидкую сталь для отдельных предприятий</w:t>
      </w:r>
    </w:p>
    <w:p w14:paraId="0FADC715"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8BB2036"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Промышленные предприятия будут освобождены от уплаты акциза на жидкую сталь, если они производят её для собственных нужд.</w:t>
      </w:r>
    </w:p>
    <w:p w14:paraId="5DCF7834"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Решение также касается промышленных предприятий, ежегодно производящих не более 300 тыс. т специальной стали с содержанием как минимум 20% легирующих элементов.</w:t>
      </w:r>
    </w:p>
    <w:p w14:paraId="7B4352C1"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Мера снизит налоговую нагрузку на машиностроителей, оборонную и авиа- промышленность, а также на металлургические предприятия, производящие спецсталь.</w:t>
      </w:r>
    </w:p>
    <w:p w14:paraId="61E1CD52" w14:textId="77777777" w:rsidR="00E435F2"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конкретных организаций, освобождающихся от уплаты акциза, утверждается Министерством промышленности и торговли по согласованию с Министерством финансов.</w:t>
      </w:r>
    </w:p>
    <w:p w14:paraId="5CD7E68D" w14:textId="0246A59E"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Условия получения </w:t>
      </w:r>
    </w:p>
    <w:p w14:paraId="61B49EDD"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Соответствие одному из следующих условий:</w:t>
      </w:r>
    </w:p>
    <w:p w14:paraId="693F76D9"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организация использует сталь жидкую, определенную в соответствии с подпунктом 22 пункта 1 статьи 181 Налогового кодекса Российской Федерации, для получения продуктов (полупродуктов) металлургического производства путем литья, непосредственно используемую в технологическом процессе производства продукции по классам 25.40, 26, 28, 29 и 30 ОКВЭД;</w:t>
      </w:r>
    </w:p>
    <w:p w14:paraId="42BF589F"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организация производит специальную сталь с совокупным содержанием (массовой долей) легирующих элементов 20% и более, определенным по нижней границе их содержаний (массовых долей) в химическом составе этой стали, указанном в соответствующем международном, национальном или региональном стандарте, а в случае отсутствия указанных стандартов – в стандарте (технических условиях) организации, не более 300 тыс. тонн в году, предшествующем году включения в перечень.</w:t>
      </w:r>
    </w:p>
    <w:p w14:paraId="41B793EB" w14:textId="6B4C52EC"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Как получить </w:t>
      </w:r>
    </w:p>
    <w:p w14:paraId="3AB27524" w14:textId="77777777"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включения в перечень организация представляет в электронном виде с использованием информационной системы в Торгово-промышленную палату Российской Федерации заявление о включении в перечень, а также документы, подтверждающие соответствие организации требуемым условиям.</w:t>
      </w:r>
    </w:p>
    <w:p w14:paraId="6B44A697" w14:textId="6A160E3D" w:rsidR="00457238" w:rsidRPr="00F10141" w:rsidRDefault="00457238"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Документы, вводящие меру </w:t>
      </w:r>
    </w:p>
    <w:p w14:paraId="43B7D7C1" w14:textId="3FA21832" w:rsidR="00457238" w:rsidRPr="00F10141" w:rsidRDefault="00344645" w:rsidP="0045723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hyperlink r:id="rId13" w:tgtFrame="_blank" w:history="1">
        <w:r w:rsidR="00457238" w:rsidRPr="00F10141">
          <w:rPr>
            <w:rFonts w:ascii="Times New Roman" w:hAnsi="Times New Roman" w:cs="Times New Roman"/>
            <w:sz w:val="24"/>
            <w:szCs w:val="24"/>
          </w:rPr>
          <w:t>Постановление от 15 апреля 2022 года №</w:t>
        </w:r>
        <w:r w:rsidR="001373F1" w:rsidRPr="00F10141">
          <w:rPr>
            <w:rFonts w:ascii="Times New Roman" w:hAnsi="Times New Roman" w:cs="Times New Roman"/>
            <w:sz w:val="24"/>
            <w:szCs w:val="24"/>
          </w:rPr>
          <w:t> </w:t>
        </w:r>
        <w:r w:rsidR="00457238" w:rsidRPr="00F10141">
          <w:rPr>
            <w:rFonts w:ascii="Times New Roman" w:hAnsi="Times New Roman" w:cs="Times New Roman"/>
            <w:sz w:val="24"/>
            <w:szCs w:val="24"/>
          </w:rPr>
          <w:t>669</w:t>
        </w:r>
      </w:hyperlink>
    </w:p>
    <w:p w14:paraId="157A7897" w14:textId="77777777" w:rsidR="0095112E" w:rsidRPr="00F10141" w:rsidRDefault="0095112E" w:rsidP="00E435F2">
      <w:pPr>
        <w:shd w:val="clear" w:color="auto" w:fill="FFFFFF" w:themeFill="background1"/>
        <w:spacing w:line="240" w:lineRule="auto"/>
        <w:jc w:val="both"/>
        <w:rPr>
          <w:rFonts w:ascii="Times New Roman" w:hAnsi="Times New Roman" w:cs="Times New Roman"/>
          <w:b/>
          <w:sz w:val="24"/>
          <w:szCs w:val="24"/>
        </w:rPr>
      </w:pPr>
    </w:p>
    <w:p w14:paraId="376BCC4E" w14:textId="77777777" w:rsidR="00B46373" w:rsidRPr="00F10141" w:rsidRDefault="00B46373"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Обнуление ставки НДС для гостиничного бизнеса</w:t>
      </w:r>
    </w:p>
    <w:p w14:paraId="3D899385"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1ED1E38"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рамках национального проекта «Туризм и индустрия гостеприимства» для инвесторов, которые строят, предоставляют в аренду и управление туристические объекты – гостиницы и иные средства размещения, – вводится нулевая ставка НДС. Она будет действовать пять лет с момента ввода этих объектов в эксплуатацию, в том числе после реконструкции.</w:t>
      </w:r>
    </w:p>
    <w:p w14:paraId="60AD406E"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Льготный НДС также смогут получить владельцы уже существующих гостиниц и иных средств размещения. Для них ставка будет действовать до 30 июня 2027 года.</w:t>
      </w:r>
    </w:p>
    <w:p w14:paraId="718D9FFD"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Льготный период для нулевой ставки НДС определен на срок пять лет, поскольку, по экспертным оценкам, именно в течение первых пяти лет работы гостиничный бизнес может выйти на операционную безубыточность.</w:t>
      </w:r>
    </w:p>
    <w:p w14:paraId="613F998E"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Сейчас в России действует одна из самых высоких в мире ставок НДС для туризма и индустрии гостеприимства – 20%. При этом в гостиничных организациях 100% добавленной стоимости формируется непосредственно в организации, поэтому налоговая нагрузка по уплате НДС становится сравнимой фактически с налогом с оборота и составляет 30% от выручки при норме в туристической отрасли 10,5%. Такая налоговая нагрузка делает отрасль неконкурентной по сравнению с другими отраслями экономики и недостаточно привлекательной для инвесторов.</w:t>
      </w:r>
    </w:p>
    <w:p w14:paraId="5FF2C51C"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F80ABEB"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новых объектов – в течение 5 лет с момента ввода в эксплуатацию.</w:t>
      </w:r>
    </w:p>
    <w:p w14:paraId="06505408"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существующих гостиниц – до 30 июня 2027 года.</w:t>
      </w:r>
    </w:p>
    <w:p w14:paraId="52B45B8C" w14:textId="77777777"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C28DCE1" w14:textId="488717F2" w:rsidR="00B46373" w:rsidRPr="00F10141" w:rsidRDefault="00B4637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Федеральный закон от 26.03.2022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67-ФЗ о налоговых льготах для компаний, осуществляющих деятельность в области туризма и информационных технологий</w:t>
      </w:r>
    </w:p>
    <w:p w14:paraId="1670F16E" w14:textId="77777777" w:rsidR="0095112E" w:rsidRPr="00F10141" w:rsidRDefault="0095112E" w:rsidP="00766679">
      <w:pPr>
        <w:shd w:val="clear" w:color="auto" w:fill="FFFFFF" w:themeFill="background1"/>
        <w:spacing w:line="240" w:lineRule="auto"/>
        <w:jc w:val="both"/>
        <w:rPr>
          <w:rFonts w:ascii="Times New Roman" w:hAnsi="Times New Roman" w:cs="Times New Roman"/>
          <w:b/>
          <w:sz w:val="24"/>
          <w:szCs w:val="24"/>
        </w:rPr>
      </w:pPr>
    </w:p>
    <w:p w14:paraId="23A697B9" w14:textId="77777777" w:rsidR="00933EB3" w:rsidRPr="00F10141" w:rsidRDefault="00933EB3"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IT-компаний</w:t>
      </w:r>
    </w:p>
    <w:p w14:paraId="491758E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FBAF88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IT-компании, которые ранее платили налог на прибыль по ставке 3%, полностью освободят от уплаты налога на прибыль в 2022-2024 годах.</w:t>
      </w:r>
    </w:p>
    <w:p w14:paraId="62DC2B20"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Также для IT-компаний, которые включены в специальный реестр аккредитованных организаций Минцифры, будет действовать трёхлетний мораторий на проведение плановых государственных и муниципальных проверок.</w:t>
      </w:r>
    </w:p>
    <w:p w14:paraId="336F68A8"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ФНС России приостановила выездные (в том числе повторные) налоговые проверки IT-компаний до 3 марта 2025 года. Исключение составляют только те проверки, которые назначены с согласия руководства вышестоящего налогового органа или ФНС России.</w:t>
      </w:r>
    </w:p>
    <w:p w14:paraId="540EBC70"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Кроме того, специалисты компаний, работающих в области информационных технологий, смогут получить отсрочку от армии. </w:t>
      </w:r>
    </w:p>
    <w:p w14:paraId="545FF27F"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FE6DBD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налогообложения – налоговые (отчётные) периоды 2022–2024 годы.</w:t>
      </w:r>
    </w:p>
    <w:p w14:paraId="568D6C1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проверок – до 31 декабря 2024 года.</w:t>
      </w:r>
    </w:p>
    <w:p w14:paraId="0A77F72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части проверок ФНС – до 3 марта 2025 года.</w:t>
      </w:r>
    </w:p>
    <w:p w14:paraId="2DD199CF"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D066C05"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Включение компании в специальный реестр аккредитованных организаций Минцифры</w:t>
      </w:r>
    </w:p>
    <w:p w14:paraId="5A6AE324"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198C86C" w14:textId="05420AA2"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Письмо ФНС</w:t>
      </w:r>
      <w:r w:rsidR="001373F1" w:rsidRPr="00F10141">
        <w:rPr>
          <w:rFonts w:ascii="Times New Roman" w:hAnsi="Times New Roman" w:cs="Times New Roman"/>
          <w:sz w:val="24"/>
          <w:szCs w:val="24"/>
        </w:rPr>
        <w:t xml:space="preserve"> России от 24 марта 2022 года № </w:t>
      </w:r>
      <w:r w:rsidRPr="00F10141">
        <w:rPr>
          <w:rFonts w:ascii="Times New Roman" w:hAnsi="Times New Roman" w:cs="Times New Roman"/>
          <w:sz w:val="24"/>
          <w:szCs w:val="24"/>
        </w:rPr>
        <w:t>СД-4-2/3586@ «О назначении ВНП в отношении аккредитованных IT-организаций»</w:t>
      </w:r>
    </w:p>
    <w:p w14:paraId="6D4DCA19" w14:textId="519EAE4F"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марта 2022 года №</w:t>
      </w:r>
      <w:r w:rsidR="001373F1" w:rsidRPr="00F10141">
        <w:rPr>
          <w:rFonts w:ascii="Times New Roman" w:hAnsi="Times New Roman" w:cs="Times New Roman"/>
          <w:sz w:val="24"/>
          <w:szCs w:val="24"/>
        </w:rPr>
        <w:t> </w:t>
      </w:r>
      <w:r w:rsidRPr="00F10141">
        <w:rPr>
          <w:rFonts w:ascii="Times New Roman" w:hAnsi="Times New Roman" w:cs="Times New Roman"/>
          <w:sz w:val="24"/>
          <w:szCs w:val="24"/>
        </w:rPr>
        <w:t>448</w:t>
      </w:r>
    </w:p>
    <w:p w14:paraId="5C4F0C6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Указ о мерах по обеспечению ускоренного развития отрасли информационных технологий в России</w:t>
      </w:r>
    </w:p>
    <w:p w14:paraId="38715B5F" w14:textId="77777777" w:rsidR="00C55513" w:rsidRPr="00F10141" w:rsidRDefault="00C55513" w:rsidP="00766679">
      <w:pPr>
        <w:shd w:val="clear" w:color="auto" w:fill="FFFFFF" w:themeFill="background1"/>
        <w:spacing w:line="240" w:lineRule="auto"/>
        <w:jc w:val="both"/>
        <w:rPr>
          <w:rFonts w:ascii="Times New Roman" w:hAnsi="Times New Roman" w:cs="Times New Roman"/>
          <w:b/>
          <w:sz w:val="24"/>
          <w:szCs w:val="24"/>
        </w:rPr>
      </w:pPr>
    </w:p>
    <w:p w14:paraId="18B43184" w14:textId="77777777" w:rsidR="00F164FF" w:rsidRPr="00F10141" w:rsidRDefault="00F164FF" w:rsidP="00766679">
      <w:pPr>
        <w:pStyle w:val="a5"/>
        <w:numPr>
          <w:ilvl w:val="0"/>
          <w:numId w:val="2"/>
        </w:numP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Ограничение уголовных дел по налоговым преступлениям</w:t>
      </w:r>
    </w:p>
    <w:p w14:paraId="53DC4AE7"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532515D"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Усовершенствован порядок возбуждения уголовных дел о преступлениях, связанных с уклонением от уплаты обязательных платежей.</w:t>
      </w:r>
    </w:p>
    <w:p w14:paraId="366847A2"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Президент подписал внесённый Правительством проект федерального закона, предусматривающий ограничение перечня поводов для возбуждения уголовных дел о налоговых преступлениях.</w:t>
      </w:r>
    </w:p>
    <w:p w14:paraId="5990EC70" w14:textId="77777777"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Изменения в Уголовно-процессуальный кодекс предусматривают возможность возбуждения уголовных дел следственными органами только по материалам налогового ведомства о возможном наличии в действиях налогоплательщика состава преступления. Эти нормы направлены на снижение нагрузки на предпринимателей в условиях сложившейся геополитической ситуации и западных санкций.</w:t>
      </w:r>
    </w:p>
    <w:p w14:paraId="436E6AC1" w14:textId="12464D65" w:rsidR="00F164FF" w:rsidRPr="00F10141" w:rsidRDefault="00F164F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58790CE" w14:textId="0CEBE31C" w:rsidR="00CF2C37" w:rsidRPr="00F10141" w:rsidRDefault="00344645" w:rsidP="00CF2C37">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5DCD7"/>
        <w:spacing w:line="240" w:lineRule="auto"/>
        <w:jc w:val="both"/>
        <w:rPr>
          <w:rFonts w:ascii="Times New Roman" w:hAnsi="Times New Roman" w:cs="Times New Roman"/>
          <w:sz w:val="24"/>
          <w:szCs w:val="24"/>
        </w:rPr>
      </w:pPr>
      <w:hyperlink r:id="rId14" w:tgtFrame="_blank" w:history="1">
        <w:r w:rsidR="00F164FF" w:rsidRPr="00F10141">
          <w:rPr>
            <w:rFonts w:ascii="Times New Roman" w:hAnsi="Times New Roman" w:cs="Times New Roman"/>
            <w:sz w:val="24"/>
            <w:szCs w:val="24"/>
          </w:rPr>
          <w:t>Федеральный закон «О внесении изменений в статьи 140 и 144 Уголовно-процессуального кодекса Российской Федерации»</w:t>
        </w:r>
      </w:hyperlink>
    </w:p>
    <w:p w14:paraId="60882677" w14:textId="77777777" w:rsidR="00AC7E74" w:rsidRDefault="00AC7E74" w:rsidP="00666D47">
      <w:pPr>
        <w:shd w:val="clear" w:color="auto" w:fill="FFFFFF" w:themeFill="background1"/>
        <w:spacing w:line="240" w:lineRule="auto"/>
        <w:jc w:val="both"/>
        <w:rPr>
          <w:rFonts w:ascii="Times New Roman" w:hAnsi="Times New Roman" w:cs="Times New Roman"/>
          <w:b/>
          <w:sz w:val="24"/>
          <w:szCs w:val="24"/>
        </w:rPr>
      </w:pPr>
    </w:p>
    <w:p w14:paraId="6EF03C19" w14:textId="77777777" w:rsidR="00EE47C0" w:rsidRDefault="00EE47C0" w:rsidP="00666D47">
      <w:pPr>
        <w:shd w:val="clear" w:color="auto" w:fill="FFFFFF" w:themeFill="background1"/>
        <w:spacing w:line="240" w:lineRule="auto"/>
        <w:jc w:val="both"/>
        <w:rPr>
          <w:rFonts w:ascii="Times New Roman" w:hAnsi="Times New Roman" w:cs="Times New Roman"/>
          <w:b/>
          <w:sz w:val="24"/>
          <w:szCs w:val="24"/>
        </w:rPr>
      </w:pPr>
    </w:p>
    <w:p w14:paraId="3CD0A137" w14:textId="2D769496" w:rsidR="001373F1" w:rsidRPr="00F10141" w:rsidRDefault="00DE6585" w:rsidP="001373F1">
      <w:pPr>
        <w:pStyle w:val="1"/>
        <w:rPr>
          <w:rFonts w:ascii="Times New Roman" w:hAnsi="Times New Roman" w:cs="Times New Roman"/>
          <w:b/>
          <w:sz w:val="24"/>
          <w:szCs w:val="24"/>
        </w:rPr>
      </w:pPr>
      <w:bookmarkStart w:id="8" w:name="_Toc178606973"/>
      <w:r w:rsidRPr="00F10141">
        <w:rPr>
          <w:rFonts w:ascii="Times New Roman" w:hAnsi="Times New Roman" w:cs="Times New Roman"/>
          <w:b/>
          <w:sz w:val="24"/>
          <w:szCs w:val="24"/>
        </w:rPr>
        <w:t>ФИНАНСЫ</w:t>
      </w:r>
      <w:bookmarkEnd w:id="8"/>
    </w:p>
    <w:p w14:paraId="73D71B5A" w14:textId="77777777" w:rsidR="005B731C" w:rsidRPr="00F10141" w:rsidRDefault="005B731C" w:rsidP="00C00F2F">
      <w:pPr>
        <w:shd w:val="clear" w:color="auto" w:fill="FFFFFF" w:themeFill="background1"/>
        <w:spacing w:line="240" w:lineRule="auto"/>
        <w:jc w:val="both"/>
        <w:rPr>
          <w:rFonts w:ascii="Times New Roman" w:hAnsi="Times New Roman" w:cs="Times New Roman"/>
          <w:b/>
          <w:sz w:val="24"/>
          <w:szCs w:val="24"/>
        </w:rPr>
      </w:pPr>
    </w:p>
    <w:p w14:paraId="52C18350" w14:textId="77777777" w:rsidR="008B1A75" w:rsidRPr="008E05BD" w:rsidRDefault="008B1A75" w:rsidP="008B1A7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8E05BD">
        <w:rPr>
          <w:rFonts w:ascii="Times New Roman" w:hAnsi="Times New Roman" w:cs="Times New Roman"/>
          <w:b/>
          <w:sz w:val="24"/>
          <w:szCs w:val="24"/>
        </w:rPr>
        <w:t>Расширение программы трудовой мобильности</w:t>
      </w:r>
    </w:p>
    <w:p w14:paraId="64D784C1"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Описание меры</w:t>
      </w:r>
    </w:p>
    <w:p w14:paraId="3B0CC125"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Предприятия, реализующие крупные проекты в приоритетных отраслях экономики, могут принять участие в программе трудовой мобильности и получать субсидии за трудоустройство сотрудников из других регионов или других муниципальных образований.</w:t>
      </w:r>
    </w:p>
    <w:p w14:paraId="738F66F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Размер господдержки в рамках этой программы составляет 12 минимальных размеров оплаты труда, увеличенных на страховые взносы и районные коэффициенты. В среднем это около 300 тыс. рублей на каждого привлечённого работника.</w:t>
      </w:r>
    </w:p>
    <w:p w14:paraId="19CACBFD" w14:textId="77777777" w:rsidR="00EE47C0"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Ранее субсидии за трудоустройство сотрудников из других регионов или других муниципальных образований (в пределах одного региона) могли получать только предприятия оборонно-промышленного комплекса, входящие в специальный реестр Минпромторга, и организации, работающие в новых регионах.</w:t>
      </w:r>
    </w:p>
    <w:p w14:paraId="6C4639FE" w14:textId="14006A0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Срок получения</w:t>
      </w:r>
    </w:p>
    <w:p w14:paraId="5D2BBA9C"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Предоставление выплат осуществляется по истечении 3-го, 6-го, 9-го и 12-го месяца работы трудоустроенного гражданина после проверки факта продолжения трудовой деятельности гражданином.</w:t>
      </w:r>
    </w:p>
    <w:p w14:paraId="5430CD83"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Условия получения</w:t>
      </w:r>
    </w:p>
    <w:p w14:paraId="5EB5FC09"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Для получения субсидии компании должны вести деятельность в приоритетной для региона отрасли экономики, выплачивать заработную плату не ниже среднемесячной по региону, а также реализовывать крупный проект, объём вложений в который превышает 3 млрд рублей. Кроме того, объём производства продукции или оказания услуг в рамках реализации этого проекта в ближайшие три года должен составить более 5% всего валового объёма производства данного вида продукции или услуг в регионе, а численность дополнительно привлекаемых работников для этого проекта должна составлять не менее 100 человек.</w:t>
      </w:r>
    </w:p>
    <w:p w14:paraId="2B2F070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Как получить</w:t>
      </w:r>
    </w:p>
    <w:p w14:paraId="46DC7827"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Работодатель, включенный регионом в перечень организаций, испытывающих потребность в привлечении работников, подает заявление о получении субсидии в Социальный фонд России.</w:t>
      </w:r>
    </w:p>
    <w:p w14:paraId="568B0EB4"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8B1A75">
        <w:rPr>
          <w:rFonts w:ascii="Times New Roman" w:hAnsi="Times New Roman" w:cs="Times New Roman"/>
          <w:b/>
          <w:sz w:val="24"/>
          <w:szCs w:val="24"/>
        </w:rPr>
        <w:t>Документы, вводящие меру</w:t>
      </w:r>
    </w:p>
    <w:p w14:paraId="70C509B5"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Постановление Правительства от 27 мая 2024 года №685</w:t>
      </w:r>
    </w:p>
    <w:p w14:paraId="0117EF49" w14:textId="77777777" w:rsidR="008B1A75" w:rsidRPr="008B1A75" w:rsidRDefault="008B1A75" w:rsidP="008B1A7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8B1A75">
        <w:rPr>
          <w:rFonts w:ascii="Times New Roman" w:hAnsi="Times New Roman" w:cs="Times New Roman"/>
          <w:sz w:val="24"/>
          <w:szCs w:val="24"/>
        </w:rPr>
        <w:t>Постановление Правительства от 13 марта 2021 года №362</w:t>
      </w:r>
    </w:p>
    <w:p w14:paraId="0CDD5E81" w14:textId="77777777" w:rsidR="008B1A75" w:rsidRDefault="008B1A75" w:rsidP="008B1A75">
      <w:pPr>
        <w:shd w:val="clear" w:color="auto" w:fill="FFFFFF" w:themeFill="background1"/>
        <w:spacing w:line="240" w:lineRule="auto"/>
        <w:jc w:val="both"/>
        <w:rPr>
          <w:rFonts w:ascii="Times New Roman" w:hAnsi="Times New Roman" w:cs="Times New Roman"/>
          <w:b/>
          <w:sz w:val="24"/>
          <w:szCs w:val="24"/>
        </w:rPr>
      </w:pPr>
    </w:p>
    <w:p w14:paraId="49057498" w14:textId="0E438157" w:rsidR="00E315C1" w:rsidRPr="007365B1" w:rsidRDefault="00E315C1" w:rsidP="008B1A7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Повышенные авансы по госконтрактам</w:t>
      </w:r>
    </w:p>
    <w:p w14:paraId="7156BC97"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Описание меры</w:t>
      </w:r>
    </w:p>
    <w:p w14:paraId="278DD0BD"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Компании, участвующие в госзакупках, продолжат получать в 2024 году в качестве аванса до 50% от цены контракта. Правило распространяется на госконтракты, финансируемые из федерального бюджета и подлежащие казначейскому сопровождению. Регионам рекомендовано применять аналогичные положения для контрактов, софинансируемых из федерального бюджета.</w:t>
      </w:r>
    </w:p>
    <w:p w14:paraId="068D9B16"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Ранее размер аванса по госконтрактам в основном ограничивался планкой в 30% от цены, зафиксированной в договоре. Повышение размера авансирования предоставляет организациям доступ к дополнительным ресурсам, помогает им быстрее и эффективнее решать поставленные задачи при обеспечении безусловного контроля за расходованием бюджетных средств.</w:t>
      </w:r>
    </w:p>
    <w:p w14:paraId="018345DB"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Постановлением также сохраняется повышенный размер авансирования госконтрактов с казначейским сопровождением, которые касаются объектов капитального строительства на территории ДНР, ЛНР, Запорожской и Херсонской областей. Компании, заключившие такие госконтракты, продолжат получать в качестве аванса до 90% от цены, обозначенной в договоре на поставку товаров, выполнение работ и оказание услуг.</w:t>
      </w:r>
    </w:p>
    <w:p w14:paraId="241B9224"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Срок получения</w:t>
      </w:r>
    </w:p>
    <w:p w14:paraId="50C22FAB"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2022 - 2024 год</w:t>
      </w:r>
    </w:p>
    <w:p w14:paraId="44AB8821"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E315C1">
        <w:rPr>
          <w:rFonts w:ascii="Times New Roman" w:hAnsi="Times New Roman" w:cs="Times New Roman"/>
          <w:b/>
          <w:sz w:val="24"/>
          <w:szCs w:val="24"/>
        </w:rPr>
        <w:t>Документы, вводящие меру</w:t>
      </w:r>
    </w:p>
    <w:p w14:paraId="0392236C"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23 января 2024 года №50</w:t>
      </w:r>
    </w:p>
    <w:p w14:paraId="18659A03"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6 марта 2023 года №348</w:t>
      </w:r>
    </w:p>
    <w:p w14:paraId="0CD22C46" w14:textId="77777777" w:rsidR="00E315C1" w:rsidRPr="00E315C1" w:rsidRDefault="00E315C1" w:rsidP="00E315C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E315C1">
        <w:rPr>
          <w:rFonts w:ascii="Times New Roman" w:hAnsi="Times New Roman" w:cs="Times New Roman"/>
          <w:sz w:val="24"/>
          <w:szCs w:val="24"/>
        </w:rPr>
        <w:t>Постановление от 29 марта 2022 года №505</w:t>
      </w:r>
    </w:p>
    <w:p w14:paraId="224BE927" w14:textId="77777777" w:rsidR="00E315C1" w:rsidRDefault="00E315C1" w:rsidP="00E315C1">
      <w:pPr>
        <w:shd w:val="clear" w:color="auto" w:fill="FFFFFF" w:themeFill="background1"/>
        <w:spacing w:line="240" w:lineRule="auto"/>
        <w:jc w:val="both"/>
        <w:rPr>
          <w:rFonts w:ascii="Times New Roman" w:hAnsi="Times New Roman" w:cs="Times New Roman"/>
          <w:b/>
          <w:sz w:val="24"/>
          <w:szCs w:val="24"/>
        </w:rPr>
      </w:pPr>
    </w:p>
    <w:p w14:paraId="06CE2F0E" w14:textId="21E67CBB" w:rsidR="00ED7454" w:rsidRPr="00F10141" w:rsidRDefault="00ED7454" w:rsidP="00ED745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производителям приоритетной промпродукции</w:t>
      </w:r>
    </w:p>
    <w:p w14:paraId="2EEFF2BF"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64047E0"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Запущена специальная программа льготного кредитования организаций, реализующих инвестиционные проекты, направленные на производство приоритетной промышленной продукции. На неё из федерального бюджета направлен 1 млрд рублей.</w:t>
      </w:r>
    </w:p>
    <w:p w14:paraId="2B1248F3"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Ставка по льготным кредитам составит 30% ключевой ставки Банка России плюс три процентных пункта. Разница будет компенсироваться банкам за счёт субсидий из федерального бюджета.</w:t>
      </w:r>
    </w:p>
    <w:p w14:paraId="77854D51"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Максимальный размер кредита – 100 млрд рублей. Объём софинансирования по каждому инвестиционному проекту должен составлять не менее 20% его общей стоимости.</w:t>
      </w:r>
    </w:p>
    <w:p w14:paraId="4FF421B9"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63BE9570"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приоритетной промышленной продукции, на производство которой можно взять льготный кредит, утвердит Минпромторг на основании решения специальной межведомственной комиссии.</w:t>
      </w:r>
    </w:p>
    <w:p w14:paraId="2177E4B9"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F8E4A6D"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22 февраля 2023 года №449-р</w:t>
      </w:r>
    </w:p>
    <w:p w14:paraId="60C9FA6F" w14:textId="77777777" w:rsidR="00ED7454" w:rsidRPr="00F10141" w:rsidRDefault="00ED7454" w:rsidP="00ED74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22 февраля 2023 года №295</w:t>
      </w:r>
    </w:p>
    <w:p w14:paraId="6FCB1696" w14:textId="77777777" w:rsidR="00C55513" w:rsidRPr="00F10141" w:rsidRDefault="00C55513" w:rsidP="00666D47">
      <w:pPr>
        <w:shd w:val="clear" w:color="auto" w:fill="FFFFFF" w:themeFill="background1"/>
        <w:spacing w:line="240" w:lineRule="auto"/>
        <w:jc w:val="both"/>
        <w:rPr>
          <w:rFonts w:ascii="Times New Roman" w:hAnsi="Times New Roman" w:cs="Times New Roman"/>
          <w:b/>
          <w:sz w:val="24"/>
          <w:szCs w:val="24"/>
        </w:rPr>
      </w:pPr>
    </w:p>
    <w:p w14:paraId="2880D1CD" w14:textId="54720CBB" w:rsidR="007A15E3" w:rsidRPr="00F10141" w:rsidRDefault="007A15E3" w:rsidP="007A15E3">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инвестпроектов в Калининградской области</w:t>
      </w:r>
    </w:p>
    <w:p w14:paraId="70FD6323"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3D12DDD"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финансирование инвестиционных проектов в Калининградской области выделено 5,5 млрд рублей. Это позволит поддержать регион на фоне ограничений на транзит грузов из других регионов России и вызванной этим приостановкой работы ряда предприятий.</w:t>
      </w:r>
    </w:p>
    <w:p w14:paraId="0CAB5A14"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направят на 58 инвестиционных проектов в сфере промышленного производства, сельского хозяйства, транспорта, судостроения и туризма. Благодаря их реализации в регионе появится более 1,1 тыс. рабочих мест, объём привлечённых инвестиций составит 6,8 млрд рублей.</w:t>
      </w:r>
    </w:p>
    <w:p w14:paraId="5ECE987C"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Также выделено более 1,3 млрд рублей на субсидирование перевозок морским транспортом. Это обеспечит перевозку грузов по льготному тарифу в Калининградскую область и за её пределы морским транспортом. Механизм субсидирования перевозок поможет не допустить роста цен на товары и поддержать промышленные предприятия региона.</w:t>
      </w:r>
    </w:p>
    <w:p w14:paraId="0AB26188"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5045D35"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направлены в бюджет Калининградской области. Через Центр поддержки предпринимательства их распределят на финансирование инвестпроектов.</w:t>
      </w:r>
    </w:p>
    <w:p w14:paraId="1ACCBC91"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0C70ADEF"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Правительства от 23 сентября 2022 года №2744-р</w:t>
      </w:r>
    </w:p>
    <w:p w14:paraId="161B92F6" w14:textId="56B73F38" w:rsidR="007A15E3" w:rsidRPr="00F10141" w:rsidRDefault="007A15E3" w:rsidP="007A15E3">
      <w:pPr>
        <w:shd w:val="clear" w:color="auto" w:fill="FFFFFF" w:themeFill="background1"/>
        <w:spacing w:line="240" w:lineRule="auto"/>
        <w:jc w:val="both"/>
        <w:rPr>
          <w:rFonts w:ascii="Times New Roman" w:hAnsi="Times New Roman" w:cs="Times New Roman"/>
          <w:b/>
          <w:sz w:val="24"/>
          <w:szCs w:val="24"/>
        </w:rPr>
      </w:pPr>
    </w:p>
    <w:p w14:paraId="3AE1A3AF" w14:textId="6E825D93" w:rsidR="007A15E3" w:rsidRPr="00F10141" w:rsidRDefault="007A15E3" w:rsidP="007A15E3">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Реструктуризация кредитов для крупного бизнеса</w:t>
      </w:r>
    </w:p>
    <w:p w14:paraId="7D5152E0"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3E56791"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реструктуризацию кредитов, взятых представителями крупного бизнеса под плавающую процентную ставку, выделено более 25 млрд рублей. Средства поступят кредиторам, выдавшим такие займы, на компенсацию недополученных доходов в рамках реструктуризации.</w:t>
      </w:r>
    </w:p>
    <w:p w14:paraId="0CF6C675"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Ранее представителям крупного бизнеса разрешили реструктуризировать кредиты, взятые по плавающей ставке. Это позволило поддержать заёмщиков, которые взяли кредиты ещё в условиях умеренной инфляции, а затем, после повышения ключевой ставки ЦБ до 20% годовых, столкнулись с дефицитом ликвидности и одновременно со значительным ростом расходов по обслуживанию долга. Для поддержки таких организаций был установлен льготный переходный период на 3 месяца. Ставка по их кредитам в это время росла постепенно, выходя на рыночный уровень лишь к четвёртому месяцу. Разница в процентах с рынком начислялась и подлежит уплате заёмщиком начиная с 1 января 2023 года. Но если компания отвечает установленным Правительством критериям, от неё она полностью освобождается. 70% этой суммы должно будет погасить государство, а остаток будет считаться исполненным.</w:t>
      </w:r>
    </w:p>
    <w:p w14:paraId="748731C7" w14:textId="77777777" w:rsidR="007A15E3"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37CC94F" w14:textId="2EEAD6F4" w:rsidR="00771321" w:rsidRPr="00F10141" w:rsidRDefault="007A15E3" w:rsidP="007A15E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28 сентября 2022 года №1703, распоряжение от 29 сентября 2022 года №2847-р</w:t>
      </w:r>
    </w:p>
    <w:p w14:paraId="1A17FD2E" w14:textId="77777777" w:rsidR="0095112E" w:rsidRDefault="0095112E" w:rsidP="0095112E">
      <w:pPr>
        <w:shd w:val="clear" w:color="auto" w:fill="FFFFFF" w:themeFill="background1"/>
        <w:spacing w:line="240" w:lineRule="auto"/>
        <w:jc w:val="both"/>
        <w:rPr>
          <w:rFonts w:ascii="Times New Roman" w:hAnsi="Times New Roman" w:cs="Times New Roman"/>
          <w:b/>
          <w:sz w:val="24"/>
          <w:szCs w:val="24"/>
        </w:rPr>
      </w:pPr>
    </w:p>
    <w:p w14:paraId="73123971" w14:textId="604A4BF4" w:rsidR="00C13CA0" w:rsidRPr="00F10141" w:rsidRDefault="00C13CA0" w:rsidP="00C13CA0">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Беспошлинный ввоз технологического оборудования и сырья</w:t>
      </w:r>
    </w:p>
    <w:p w14:paraId="1D328C21" w14:textId="77777777" w:rsidR="00C13CA0" w:rsidRPr="00F10141" w:rsidRDefault="00C13CA0" w:rsidP="00C13C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8C4BCF9" w14:textId="2CEA2545"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Технологическое оборудование, комплектующие и запчасти к нему, а также сырьё и материалы для реализации инвестпроектов в важных для экономики секторах освобождены от уплаты таможенной пошлины при ввозе в страну.</w:t>
      </w:r>
    </w:p>
    <w:p w14:paraId="24F36639" w14:textId="77777777"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список включены 50 приоритетных видов деятельности, в отношении которых доступна льгота. Это растениеводство, производство лекарств, пищевых продуктов и напитков, бумаги, электрооборудования, компьютеров, транспорта, деятельность в сфере информационных технологий, телекоммуникаций, пассажирские перевозки, строительство, добычу нефти и газа. Позже в список добавили добычу угля, торфа, металлических руд, декоративного и строительного камня, известняка, гипса, мела и сланцев, разработку гравийных и песчаных карьеров, обеспечение электрической энергией, газом и паром, а также кондиционирование воздуха.</w:t>
      </w:r>
    </w:p>
    <w:p w14:paraId="20746F04" w14:textId="77777777" w:rsidR="00E32341" w:rsidRPr="00F10141" w:rsidRDefault="00E32341" w:rsidP="00E3234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 августа 2023 года в перечень приоритетных видов деятельности для ввоза оборудования и материалов без уплаты таможенной пошлины внесены сфера спорта, отдыха и развлечений (деятельность, связанная со спортивными объектами, парками культуры и отдыха, тематическими парками).</w:t>
      </w:r>
    </w:p>
    <w:p w14:paraId="24756C7F" w14:textId="1D91DE0B"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1432277B" w14:textId="77777777"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Объём капитальных вложений по каждому инвестпроекту, претендующему на включение в перечень, должен составлять не менее 250 млн рублей.</w:t>
      </w:r>
    </w:p>
    <w:p w14:paraId="42BD5912" w14:textId="77777777"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6BD184F" w14:textId="1BBC788C" w:rsidR="00E32341" w:rsidRPr="00F10141" w:rsidRDefault="00E3234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12 августа 2023 года №1328</w:t>
      </w:r>
    </w:p>
    <w:p w14:paraId="569B7B67" w14:textId="21619954"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28 декабря 2022 года №2468</w:t>
      </w:r>
    </w:p>
    <w:p w14:paraId="3574D4E4" w14:textId="2288DD03" w:rsidR="003050D1" w:rsidRPr="00F10141" w:rsidRDefault="003050D1" w:rsidP="003050D1">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9 мая 2022 года №839</w:t>
      </w:r>
    </w:p>
    <w:p w14:paraId="3FB12822" w14:textId="7FB0714E" w:rsidR="0095112E" w:rsidRDefault="0095112E" w:rsidP="00666D47">
      <w:pPr>
        <w:shd w:val="clear" w:color="auto" w:fill="FFFFFF" w:themeFill="background1"/>
        <w:spacing w:line="240" w:lineRule="auto"/>
        <w:jc w:val="both"/>
        <w:rPr>
          <w:rFonts w:ascii="Times New Roman" w:hAnsi="Times New Roman" w:cs="Times New Roman"/>
          <w:b/>
          <w:sz w:val="24"/>
          <w:szCs w:val="24"/>
        </w:rPr>
      </w:pPr>
    </w:p>
    <w:p w14:paraId="121AFE90" w14:textId="4E608F81" w:rsidR="001F0C6B" w:rsidRPr="00F10141" w:rsidRDefault="001F0C6B" w:rsidP="00C13CA0">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импортеров</w:t>
      </w:r>
    </w:p>
    <w:p w14:paraId="72E26B46" w14:textId="77777777" w:rsidR="00770744" w:rsidRPr="00F10141" w:rsidRDefault="00770744" w:rsidP="00C13CA0">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2784BE76"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Импортёры могут получить льготные кредиты по ставке не более 30% ключевой ставки Банка России (https://www.cbr.ru/hd_base/KeyRate/) плюс три процентных пункта.</w:t>
      </w:r>
    </w:p>
    <w:p w14:paraId="45143CC4"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 этом субсидируемая ставка составит 0,7 ключевой ставки банка России.</w:t>
      </w:r>
    </w:p>
    <w:p w14:paraId="2D63BBA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Разницу банкам компенсируют за счёт субсидий из федерального бюджета. На субсидирование этой программы направлено свыше 37 млрд рублей.</w:t>
      </w:r>
    </w:p>
    <w:p w14:paraId="0778DF03"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Программа доступна для импорта продукции из перечня приоритетной. В него внесены продовольственные товары (в том числе орехи, кофе, какао-бобы, джемы, фруктовое пюре, консервированные фрукты, сухие молочные смеси для детского питания), лекарства, фармацевтическая продукция, транспорт, строительные материалы, различные станки, сельскохозяйственные машины, электроника и др. </w:t>
      </w:r>
    </w:p>
    <w:p w14:paraId="5ED248F1"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Льготные кредиты позволят снизить текущие затраты, наладить поставки всех необходимых товаров и ресурсов. Срок, на который импортёры могут получить кредиты, зависит от целей займа. </w:t>
      </w:r>
    </w:p>
    <w:p w14:paraId="65A34DE8" w14:textId="77777777" w:rsidR="00BA2694"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22B64410" w14:textId="52717506"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закупки сырья и комплектующих льготная ставка действует 1 год, для закупки оборудования и средств производства – 3 года.</w:t>
      </w:r>
    </w:p>
    <w:p w14:paraId="67923D4D"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F7AA360"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Импорт продукции, включённой в список приоритетных (http://publication.pravo.gov.ru/Document/View/0001202205190029?index=20&amp;rangeSize=1) по решению Правительства.</w:t>
      </w:r>
    </w:p>
    <w:p w14:paraId="22644DC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Контракт на импорт продукции, заключённый после 1 марта 2022 года, в иностранной валюте.</w:t>
      </w:r>
    </w:p>
    <w:p w14:paraId="72494CB2"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Сумма обязательств по импортному контракту равна эквиваленту 3 млн рублей или выше.</w:t>
      </w:r>
    </w:p>
    <w:p w14:paraId="2FC2A99E"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2E6E6F73"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27 мая Минпромторг начал отбор кредитных организаций для участия в программе. После этого с банками будут заключены соглашения, и они смогут заключать договор с заявителями-импортёрами</w:t>
      </w:r>
    </w:p>
    <w:p w14:paraId="55220FFF"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Приоритетная для импорта продукция</w:t>
      </w:r>
    </w:p>
    <w:p w14:paraId="2129B205" w14:textId="77777777"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1B46571" w14:textId="208957E0" w:rsidR="00F20A86" w:rsidRPr="00F10141" w:rsidRDefault="00F20A86"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27 сентября 2022 года № 2796-р</w:t>
      </w:r>
    </w:p>
    <w:p w14:paraId="1343FD98" w14:textId="0B8719E9"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25 июня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1142</w:t>
      </w:r>
    </w:p>
    <w:p w14:paraId="536DB183" w14:textId="58F9BAE9" w:rsidR="001F0C6B"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27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1326-р</w:t>
      </w:r>
    </w:p>
    <w:p w14:paraId="2AFA954D" w14:textId="7F84707B" w:rsidR="00770744" w:rsidRPr="00F10141" w:rsidRDefault="001F0C6B" w:rsidP="001F0C6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18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895</w:t>
      </w:r>
    </w:p>
    <w:p w14:paraId="7C2B6DF6" w14:textId="77777777" w:rsidR="00C13E60" w:rsidRDefault="00C13E60" w:rsidP="001F0C6B">
      <w:pPr>
        <w:shd w:val="clear" w:color="auto" w:fill="FFFFFF" w:themeFill="background1"/>
        <w:spacing w:line="240" w:lineRule="auto"/>
        <w:jc w:val="both"/>
        <w:rPr>
          <w:rFonts w:ascii="Times New Roman" w:hAnsi="Times New Roman" w:cs="Times New Roman"/>
          <w:b/>
          <w:sz w:val="24"/>
          <w:szCs w:val="24"/>
        </w:rPr>
      </w:pPr>
    </w:p>
    <w:p w14:paraId="3C1ADE75" w14:textId="77777777" w:rsidR="007B24B5" w:rsidRPr="00F10141" w:rsidRDefault="007B24B5" w:rsidP="007B24B5">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инвесторов в сфере обращения с отходами</w:t>
      </w:r>
    </w:p>
    <w:p w14:paraId="6DD4FC4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EDF1E7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Инвестиционным компаниям, реализующим проекты по обработке и утилизации коммунальных отходов, доступна льготная процентная ставка по банковским кредитам.</w:t>
      </w:r>
    </w:p>
    <w:p w14:paraId="5767948B"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Ставка будет не выше 12,5%. Субсидии от государства будут покрывать банкам оставшуюся часть ставки.</w:t>
      </w:r>
    </w:p>
    <w:p w14:paraId="10B45758"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7525E57"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строительство, реконструкция или модернизация объектов по обращению с отходами</w:t>
      </w:r>
    </w:p>
    <w:p w14:paraId="2DFA25EB"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софинансирование публично-правовой компанией «Российский экологический оператор»</w:t>
      </w:r>
    </w:p>
    <w:p w14:paraId="7EB52FB3" w14:textId="77777777"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1B05098" w14:textId="40318752" w:rsidR="007B24B5" w:rsidRPr="00F10141" w:rsidRDefault="007B24B5" w:rsidP="007B24B5">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Правительства от 5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814</w:t>
      </w:r>
    </w:p>
    <w:p w14:paraId="228478F5" w14:textId="77777777" w:rsidR="00BA2694" w:rsidRPr="00F10141" w:rsidRDefault="00BA2694" w:rsidP="009E16AF">
      <w:pPr>
        <w:shd w:val="clear" w:color="auto" w:fill="FFFFFF" w:themeFill="background1"/>
        <w:spacing w:line="240" w:lineRule="auto"/>
        <w:jc w:val="both"/>
        <w:rPr>
          <w:rFonts w:ascii="Times New Roman" w:hAnsi="Times New Roman" w:cs="Times New Roman"/>
          <w:b/>
          <w:sz w:val="24"/>
          <w:szCs w:val="24"/>
        </w:rPr>
      </w:pPr>
    </w:p>
    <w:p w14:paraId="506E4E9A" w14:textId="77777777" w:rsidR="00DE5294" w:rsidRPr="00F10141" w:rsidRDefault="00DE5294" w:rsidP="0071681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Смягчены требования к IT-компаниям, получающим господдержку</w:t>
      </w:r>
    </w:p>
    <w:p w14:paraId="32CA583E"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7A80463"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смягчило требования к российским IТ-компаниям, которые получают государственные субсидии на создание цифровых платформ для производства высокотехнологичной промышленной продукции.</w:t>
      </w:r>
    </w:p>
    <w:p w14:paraId="23BD16D8"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реализации комплексных проектов, на которые выделялись субсидии, увеличен на два года. Это позволит компаниям-разработчикам ПО избежать штрафных санкций за срыв поставок по действующим соглашениям.</w:t>
      </w:r>
    </w:p>
    <w:p w14:paraId="28221DE2"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идет о субсидиях, которые выделяют отечественным IТ-компаниям с конца 2020 года в рамках федерального проекта «Цифровые технологии» национальной программы «Цифровая экономика Российской Федерации». Они покрывают до 50% затрат на создание программных продуктов.</w:t>
      </w:r>
    </w:p>
    <w:p w14:paraId="3FE13088" w14:textId="77777777"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D0FAB8C" w14:textId="5DC9C554" w:rsidR="00DE5294" w:rsidRPr="00F10141" w:rsidRDefault="00DE5294" w:rsidP="00DE529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Правительства от 23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746</w:t>
      </w:r>
    </w:p>
    <w:p w14:paraId="46550675" w14:textId="77777777" w:rsidR="0076029D" w:rsidRDefault="0076029D" w:rsidP="00716814">
      <w:pPr>
        <w:shd w:val="clear" w:color="auto" w:fill="FFFFFF" w:themeFill="background1"/>
        <w:spacing w:line="240" w:lineRule="auto"/>
        <w:jc w:val="both"/>
        <w:rPr>
          <w:rFonts w:ascii="Times New Roman" w:hAnsi="Times New Roman" w:cs="Times New Roman"/>
          <w:b/>
          <w:sz w:val="24"/>
          <w:szCs w:val="24"/>
        </w:rPr>
      </w:pPr>
    </w:p>
    <w:p w14:paraId="2DAD2411" w14:textId="6B9CC292" w:rsidR="0069714B" w:rsidRPr="00F10141" w:rsidRDefault="0069714B" w:rsidP="0069714B">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Поддержка аэропортов в южных и центральных регионах</w:t>
      </w:r>
    </w:p>
    <w:p w14:paraId="3F00DF5B" w14:textId="77777777"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F85867E" w14:textId="77777777"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компенсацию операционных расходов аэропортов, расположенных в Анапе, Белгороде, Брянске, Воронеже, Геленджике, Краснодаре, Курске, Липецке, Ростове-на-Дону, Симферополе, Элисте, выделено более 3 млрд рублей.</w:t>
      </w:r>
    </w:p>
    <w:p w14:paraId="77E12CD6" w14:textId="52AE0AFA"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Эта мера поддержит инфраструктуру аэропортов и поможет сохранить квалифицированный персонал.</w:t>
      </w:r>
    </w:p>
    <w:p w14:paraId="4D5B44B3" w14:textId="599B6561" w:rsidR="00F43B54"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6A8F9E9" w14:textId="77777777" w:rsidR="00EF4223"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14 апреля 2022 года №</w:t>
      </w:r>
      <w:r w:rsidR="00EF4223" w:rsidRPr="00F10141">
        <w:rPr>
          <w:rFonts w:ascii="Times New Roman" w:hAnsi="Times New Roman" w:cs="Times New Roman"/>
          <w:sz w:val="24"/>
          <w:szCs w:val="24"/>
        </w:rPr>
        <w:t> 662</w:t>
      </w:r>
    </w:p>
    <w:p w14:paraId="38BF1682" w14:textId="6461FC71" w:rsidR="00F43B54" w:rsidRPr="00F10141" w:rsidRDefault="00EF4223"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w:t>
      </w:r>
      <w:r w:rsidR="00F43B54" w:rsidRPr="00F10141">
        <w:rPr>
          <w:rFonts w:ascii="Times New Roman" w:hAnsi="Times New Roman" w:cs="Times New Roman"/>
          <w:sz w:val="24"/>
          <w:szCs w:val="24"/>
        </w:rPr>
        <w:t>аспоряжение от 14 апреля 2022 года №</w:t>
      </w:r>
      <w:r w:rsidRPr="00F10141">
        <w:rPr>
          <w:rFonts w:ascii="Times New Roman" w:hAnsi="Times New Roman" w:cs="Times New Roman"/>
          <w:sz w:val="24"/>
          <w:szCs w:val="24"/>
        </w:rPr>
        <w:t> </w:t>
      </w:r>
      <w:r w:rsidR="00F43B54" w:rsidRPr="00F10141">
        <w:rPr>
          <w:rFonts w:ascii="Times New Roman" w:hAnsi="Times New Roman" w:cs="Times New Roman"/>
          <w:sz w:val="24"/>
          <w:szCs w:val="24"/>
        </w:rPr>
        <w:t>876-р</w:t>
      </w:r>
    </w:p>
    <w:p w14:paraId="4BAFACEF" w14:textId="1E1E73C3" w:rsidR="00750551" w:rsidRPr="00F10141" w:rsidRDefault="00F43B54" w:rsidP="00F43B5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1236-р</w:t>
      </w:r>
    </w:p>
    <w:p w14:paraId="27E5A47D" w14:textId="77777777" w:rsidR="008461C0" w:rsidRPr="00F10141" w:rsidRDefault="008461C0" w:rsidP="00F43B54">
      <w:pPr>
        <w:shd w:val="clear" w:color="auto" w:fill="FFFFFF" w:themeFill="background1"/>
        <w:spacing w:line="240" w:lineRule="auto"/>
        <w:jc w:val="both"/>
        <w:rPr>
          <w:rFonts w:ascii="Times New Roman" w:hAnsi="Times New Roman" w:cs="Times New Roman"/>
          <w:b/>
          <w:sz w:val="24"/>
          <w:szCs w:val="24"/>
        </w:rPr>
      </w:pPr>
    </w:p>
    <w:p w14:paraId="73AB088D" w14:textId="639F0941" w:rsidR="00572F36" w:rsidRPr="00F10141" w:rsidRDefault="00572F36" w:rsidP="00572F36">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 xml:space="preserve">Банковские гарантии фармпредприятиям </w:t>
      </w:r>
    </w:p>
    <w:p w14:paraId="25A9448F"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69B7F57E"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Системообразующие предприятия фармацевтической и медицинской промышленности, а также дистрибьюторы такой продукции и аптечные сети смогут получить дополнительную поддержку от государства.</w:t>
      </w:r>
    </w:p>
    <w:p w14:paraId="4AC8A1A9"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идёт о предоставлении таким организациям банковских гарантий с льготной ставкой комиссии. Для предприятий она составит 1%, а банкам будет компенсироваться до 2% за счёт государства.</w:t>
      </w:r>
    </w:p>
    <w:p w14:paraId="1750799E"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Банковские гарантии необходимы для проведения взаиморасчётов по контрактам на поставку лекарств и медицинских изделий на условиях отсрочки платежа. Если компании не могут в силу каких-либо причин выполнить обязательства по контрактам, то поставщик получит средства от банка. Используя такой инструмент, фармкомпании и аптеки смогут минимизировать риски.</w:t>
      </w:r>
    </w:p>
    <w:p w14:paraId="6A966D6F" w14:textId="77777777"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69831E5F" w14:textId="114BCB39" w:rsidR="00F72A58" w:rsidRPr="00F10141" w:rsidRDefault="00F72A58" w:rsidP="00F72A5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7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612</w:t>
      </w:r>
    </w:p>
    <w:p w14:paraId="797C68AE" w14:textId="77777777" w:rsidR="008E05BD" w:rsidRDefault="008E05BD" w:rsidP="003146CA">
      <w:pPr>
        <w:pStyle w:val="a5"/>
        <w:spacing w:line="360" w:lineRule="auto"/>
        <w:jc w:val="both"/>
        <w:rPr>
          <w:rFonts w:ascii="Times New Roman" w:hAnsi="Times New Roman" w:cs="Times New Roman"/>
          <w:b/>
          <w:sz w:val="24"/>
          <w:szCs w:val="24"/>
        </w:rPr>
      </w:pPr>
    </w:p>
    <w:p w14:paraId="74D810E7" w14:textId="3E983605" w:rsidR="005330DF" w:rsidRPr="00F10141" w:rsidRDefault="005330DF" w:rsidP="00572F36">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предприятиям ТЭК</w:t>
      </w:r>
    </w:p>
    <w:p w14:paraId="200D752A" w14:textId="77777777" w:rsidR="005330DF" w:rsidRPr="00F10141" w:rsidRDefault="005330DF"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9A5EB56"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Специальная кредитная программа поддержки действует для системообразующих организаций топливно-энергетического комплекса (ТЭК). На льготные кредиты могут претендовать в том числе и компании, для которых деятельность в нефтесервисной отрасли является не основной, а дополнительной. Компании смогут получить займы по льготной ставке на поддержание текущей деятельности.</w:t>
      </w:r>
    </w:p>
    <w:p w14:paraId="5A47F9CD"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таких организаций доступны кредиты по ставке не более 11% годовых на срок до 12 месяцев. Одно предприятие сможет получить до 10 млрд рублей, группа компаний – до 30 млрд рублей.</w:t>
      </w:r>
    </w:p>
    <w:p w14:paraId="41D8ACB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апреле на поддержку системообразующих предприятий ТЭК выделили 7 млрд рублей, в июле дополнительно направили еще 127,5 млн рублей.</w:t>
      </w:r>
    </w:p>
    <w:p w14:paraId="05F3E6B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78E73B6B"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Кредиты можно взять на срок до 12 мес.</w:t>
      </w:r>
    </w:p>
    <w:p w14:paraId="1A5A47F4" w14:textId="77777777"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1CFCBC55" w14:textId="23BFF2D8"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28 июля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2069-р</w:t>
      </w:r>
    </w:p>
    <w:p w14:paraId="570B828A" w14:textId="15D41799"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27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953</w:t>
      </w:r>
    </w:p>
    <w:p w14:paraId="48419E8A" w14:textId="0499F4DE"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7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777-р</w:t>
      </w:r>
    </w:p>
    <w:p w14:paraId="7F22404C" w14:textId="2153A98A" w:rsidR="008F2C70" w:rsidRPr="00F10141" w:rsidRDefault="008F2C70" w:rsidP="007D387C">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574</w:t>
      </w:r>
    </w:p>
    <w:p w14:paraId="6E81E16D" w14:textId="77777777" w:rsidR="008F2C70" w:rsidRDefault="008F2C70" w:rsidP="00D005C7">
      <w:pPr>
        <w:shd w:val="clear" w:color="auto" w:fill="FFFFFF" w:themeFill="background1"/>
        <w:spacing w:line="240" w:lineRule="auto"/>
        <w:jc w:val="both"/>
        <w:rPr>
          <w:rFonts w:ascii="Times New Roman" w:hAnsi="Times New Roman" w:cs="Times New Roman"/>
          <w:b/>
          <w:sz w:val="24"/>
          <w:szCs w:val="24"/>
        </w:rPr>
      </w:pPr>
    </w:p>
    <w:p w14:paraId="08F7CB42" w14:textId="7B11664A" w:rsidR="008B7C84" w:rsidRPr="00F10141" w:rsidRDefault="008B7C84" w:rsidP="008B7C84">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IT-компаний</w:t>
      </w:r>
    </w:p>
    <w:p w14:paraId="253D5FE5" w14:textId="77777777" w:rsidR="008B7C84" w:rsidRPr="00F10141" w:rsidRDefault="008B7C84" w:rsidP="008B7C84">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737EEAA" w14:textId="261D7CDF"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организации, реализующие проекты по разработке и (или) внедрению проектов по цифровой трансформации на основе российских решений, могут получить кредит по льготной став</w:t>
      </w:r>
      <w:r w:rsidR="00667762" w:rsidRPr="00F10141">
        <w:rPr>
          <w:rFonts w:ascii="Times New Roman" w:hAnsi="Times New Roman" w:cs="Times New Roman"/>
          <w:sz w:val="24"/>
          <w:szCs w:val="24"/>
        </w:rPr>
        <w:t>к</w:t>
      </w:r>
      <w:r w:rsidRPr="00F10141">
        <w:rPr>
          <w:rFonts w:ascii="Times New Roman" w:hAnsi="Times New Roman" w:cs="Times New Roman"/>
          <w:sz w:val="24"/>
          <w:szCs w:val="24"/>
        </w:rPr>
        <w:t>е от 1 до 5 % годовых</w:t>
      </w:r>
      <w:r w:rsidR="00667762" w:rsidRPr="00F10141">
        <w:rPr>
          <w:rFonts w:ascii="Times New Roman" w:hAnsi="Times New Roman" w:cs="Times New Roman"/>
          <w:sz w:val="24"/>
          <w:szCs w:val="24"/>
        </w:rPr>
        <w:t>.</w:t>
      </w:r>
    </w:p>
    <w:p w14:paraId="70637FDB"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Аккредитованные IT-организации могут получить льготный кредит на реализацию новых проектов по льготной ставке до 3 % годовых.</w:t>
      </w:r>
    </w:p>
    <w:p w14:paraId="37E55A8F"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Размер льготного кредита может составить от 5 млн рублей до 5 млрд рублей на реализацию проектов, и от 500 млн рублей до 10 млрд рублей на реализацию программ.</w:t>
      </w:r>
    </w:p>
    <w:p w14:paraId="67EB405B" w14:textId="50749ACA"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На реализацию программы льготного кредитования в федеральном бюджете на 2023-2024 годы предусмотрено 4 млрд рублей, что позволит поддержать не менее 150 проектов по цифровой трансформации. </w:t>
      </w:r>
    </w:p>
    <w:p w14:paraId="6D169C94"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1781D793"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 2022 года.</w:t>
      </w:r>
    </w:p>
    <w:p w14:paraId="0A24A100"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719A2DB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получения льготного финансирования аккредитованная организации:</w:t>
      </w:r>
    </w:p>
    <w:p w14:paraId="343B681B" w14:textId="598DAEA1"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хотя бы один раз должна быть признана соответствующей условиям, необходимым для применения налоговых ставок и пониженных тарифов страховых взносов согласно пункту 1.15 статьи 284 и пункту 5 статьи 427 Налогового кодекса Российской Федерации;</w:t>
      </w:r>
    </w:p>
    <w:p w14:paraId="64A5D9A9"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сохранить занятость на период действия кредитного договора не менее 85% среднесписочной численности работников по отношению к 1 марта 2022 года;</w:t>
      </w:r>
    </w:p>
    <w:p w14:paraId="057836A6"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проиндексировать заработную плату сотрудников.</w:t>
      </w:r>
    </w:p>
    <w:p w14:paraId="3002E5C6"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782D66B2"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Потенциальный заёмщик самостоятельно выбирает уполномоченный банк для получения льготного кредита.</w:t>
      </w:r>
    </w:p>
    <w:p w14:paraId="53274A05"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 списком уполномоченных банков и контактными лицами можно ознакомиться по ссылке.</w:t>
      </w:r>
    </w:p>
    <w:p w14:paraId="539E906B"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Уполномоченные банки</w:t>
      </w:r>
    </w:p>
    <w:p w14:paraId="4BB7451C"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6C54C44"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1 апреля 2022 года №714-р</w:t>
      </w:r>
    </w:p>
    <w:p w14:paraId="3CF5492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5 декабря 2019 года №1598</w:t>
      </w:r>
    </w:p>
    <w:p w14:paraId="436BB58D" w14:textId="77777777" w:rsidR="00295C9B" w:rsidRPr="00F10141" w:rsidRDefault="00295C9B" w:rsidP="00667762">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Указ о мерах по обеспечению ускоренного развития отрасли информационных технологий в России</w:t>
      </w:r>
    </w:p>
    <w:p w14:paraId="23F7C19C" w14:textId="77777777" w:rsidR="003559A3" w:rsidRPr="00F10141" w:rsidRDefault="003559A3" w:rsidP="008B7C84">
      <w:pPr>
        <w:shd w:val="clear" w:color="auto" w:fill="FFFFFF" w:themeFill="background1"/>
        <w:spacing w:line="240" w:lineRule="auto"/>
        <w:jc w:val="both"/>
        <w:rPr>
          <w:rFonts w:ascii="Times New Roman" w:hAnsi="Times New Roman" w:cs="Times New Roman"/>
          <w:b/>
          <w:sz w:val="24"/>
          <w:szCs w:val="24"/>
        </w:rPr>
      </w:pPr>
    </w:p>
    <w:p w14:paraId="00A18A70" w14:textId="77777777" w:rsidR="000018D8" w:rsidRPr="00F10141" w:rsidRDefault="000018D8"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Сокращение срока оплаты по договорам с госкомпаниями и госкорпорациями</w:t>
      </w:r>
    </w:p>
    <w:p w14:paraId="50488A15"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9E62598"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Срок оплаты исполненных обязательств по договорам, заключенным по 223-ФЗ с субъектами малого и среднего предпринимательства (МСП), сократился с 15 до 7 рабочих дней.</w:t>
      </w:r>
    </w:p>
    <w:p w14:paraId="5D3CEE9E"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Сокращённый срок оплаты для субъектов МСП распространяется на договоры, обязательства по которым подлежат оплате после официального опубликования постановления Правительства РФ № 417. Таким образом, получить денежные средства за поставленный товар, выполненную работу или оказанную услугу представители малого и среднего предпринимательства могут при исполнении договоров начиная с 23 марта 2022 года.</w:t>
      </w:r>
    </w:p>
    <w:p w14:paraId="059AF84C"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2534275F"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 исполнении договоров начиная с 23 марта 2022 года.</w:t>
      </w:r>
    </w:p>
    <w:p w14:paraId="5CD71DFC" w14:textId="77777777"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43A62869" w14:textId="4DAF6A4F" w:rsidR="000018D8" w:rsidRPr="00F10141" w:rsidRDefault="000018D8"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417</w:t>
      </w:r>
    </w:p>
    <w:p w14:paraId="6D456BD0" w14:textId="77777777" w:rsidR="003559A3" w:rsidRDefault="003559A3" w:rsidP="00766679">
      <w:pPr>
        <w:shd w:val="clear" w:color="auto" w:fill="FFFFFF" w:themeFill="background1"/>
        <w:spacing w:line="240" w:lineRule="auto"/>
        <w:jc w:val="both"/>
        <w:rPr>
          <w:rFonts w:ascii="Times New Roman" w:hAnsi="Times New Roman" w:cs="Times New Roman"/>
          <w:b/>
          <w:sz w:val="24"/>
          <w:szCs w:val="24"/>
        </w:rPr>
      </w:pPr>
    </w:p>
    <w:p w14:paraId="019FB5BD" w14:textId="77777777" w:rsidR="003F6A48" w:rsidRDefault="003F6A48" w:rsidP="00766679">
      <w:pPr>
        <w:shd w:val="clear" w:color="auto" w:fill="FFFFFF" w:themeFill="background1"/>
        <w:spacing w:line="240" w:lineRule="auto"/>
        <w:jc w:val="both"/>
        <w:rPr>
          <w:rFonts w:ascii="Times New Roman" w:hAnsi="Times New Roman" w:cs="Times New Roman"/>
          <w:b/>
          <w:sz w:val="24"/>
          <w:szCs w:val="24"/>
        </w:rPr>
      </w:pPr>
    </w:p>
    <w:p w14:paraId="52686A3A" w14:textId="77777777" w:rsidR="00EE47C0" w:rsidRDefault="00EE47C0" w:rsidP="00766679">
      <w:pPr>
        <w:shd w:val="clear" w:color="auto" w:fill="FFFFFF" w:themeFill="background1"/>
        <w:spacing w:line="240" w:lineRule="auto"/>
        <w:jc w:val="both"/>
        <w:rPr>
          <w:rFonts w:ascii="Times New Roman" w:hAnsi="Times New Roman" w:cs="Times New Roman"/>
          <w:b/>
          <w:sz w:val="24"/>
          <w:szCs w:val="24"/>
        </w:rPr>
      </w:pPr>
    </w:p>
    <w:p w14:paraId="0AC015E8" w14:textId="77777777" w:rsidR="00EE47C0" w:rsidRDefault="00EE47C0" w:rsidP="00766679">
      <w:pPr>
        <w:shd w:val="clear" w:color="auto" w:fill="FFFFFF" w:themeFill="background1"/>
        <w:spacing w:line="240" w:lineRule="auto"/>
        <w:jc w:val="both"/>
        <w:rPr>
          <w:rFonts w:ascii="Times New Roman" w:hAnsi="Times New Roman" w:cs="Times New Roman"/>
          <w:b/>
          <w:sz w:val="24"/>
          <w:szCs w:val="24"/>
        </w:rPr>
      </w:pPr>
    </w:p>
    <w:p w14:paraId="061508CD" w14:textId="77777777" w:rsidR="00EE47C0" w:rsidRPr="00F10141" w:rsidRDefault="00EE47C0" w:rsidP="00766679">
      <w:pPr>
        <w:shd w:val="clear" w:color="auto" w:fill="FFFFFF" w:themeFill="background1"/>
        <w:spacing w:line="240" w:lineRule="auto"/>
        <w:jc w:val="both"/>
        <w:rPr>
          <w:rFonts w:ascii="Times New Roman" w:hAnsi="Times New Roman" w:cs="Times New Roman"/>
          <w:b/>
          <w:sz w:val="24"/>
          <w:szCs w:val="24"/>
        </w:rPr>
      </w:pPr>
    </w:p>
    <w:p w14:paraId="41D5500E" w14:textId="77777777" w:rsidR="00933EB3" w:rsidRPr="00F10141" w:rsidRDefault="00933EB3"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Гранты молодым предпринимателям</w:t>
      </w:r>
    </w:p>
    <w:p w14:paraId="2F6D0493"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4554CE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Гранты на создание или развитие своих проектов могут получить ИП и юридические лица, основанные предпринимателями в возрасте от 14 до 25 лет (включительно). До 18 лет – с разрешения родителей. При этом, если речь о юрлице, то молодой человек должен владеть долей в компании не менее 50%.</w:t>
      </w:r>
    </w:p>
    <w:p w14:paraId="5774EB8D"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Размеры грантов составят от 100 до 500 тыс. рублей и до 1 млн рублей, если молодой предприниматель ведёт деятельность в Арктической зоне.</w:t>
      </w:r>
    </w:p>
    <w:p w14:paraId="3B7D56B1"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Грант можно потратить на реализацию бизнес-проекта, в том числе на аренду и ремонт помещения, приобретение ПО, оргтехники, оборудования (если проект предполагает создание небольшого производства), оплату первых взносов по договорам лизинга, услуг связи и т.п.</w:t>
      </w:r>
    </w:p>
    <w:p w14:paraId="52738F4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364D765B"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 середины 2022 года</w:t>
      </w:r>
    </w:p>
    <w:p w14:paraId="54C264CA"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40A16A28" w14:textId="18ED01B6"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Прохождение бесплатного обучения в центре «Мой бизнес» по основам предпринимательской деятельности (вы должны разбираться в условиях ведения бизнеса, мерах поддержки и нововведениях в законодательстве). Длительность обучения – не менее 16 часов. Если субъект МСП уже обучился по программе центра или «Корпорации МСП» не позднее, чем год назад, то он может использовать полученный сертификат для участия в конкурсе на получение гранта</w:t>
      </w:r>
    </w:p>
    <w:p w14:paraId="0B725308"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Софинансирование не менее 25% от стоимости проекта (например, если вы хотите приобрести на средства гранта оборудование, то 25% от его стоимости должны добавить из своих денег. Если своих средств еще нет, то можно, к примеру, обратиться за льготным микрозаймом в центр «Мой бизнес». Микрозайм предоставляется на срок до 3 лет, до 5 млн рублей).</w:t>
      </w:r>
    </w:p>
    <w:p w14:paraId="3BE80CDC"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50421B2E"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Центры «Мой бизнес» в регионах</w:t>
      </w:r>
    </w:p>
    <w:p w14:paraId="13198396" w14:textId="77777777"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54D9DD18" w14:textId="4C1A199C" w:rsidR="00933EB3" w:rsidRPr="00F10141" w:rsidRDefault="00933EB3"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19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413</w:t>
      </w:r>
    </w:p>
    <w:p w14:paraId="5D50C749" w14:textId="77777777" w:rsidR="0095112E" w:rsidRDefault="0095112E" w:rsidP="0095112E">
      <w:pPr>
        <w:shd w:val="clear" w:color="auto" w:fill="FFFFFF" w:themeFill="background1"/>
        <w:spacing w:line="240" w:lineRule="auto"/>
        <w:jc w:val="both"/>
        <w:rPr>
          <w:rFonts w:ascii="Times New Roman" w:hAnsi="Times New Roman" w:cs="Times New Roman"/>
          <w:b/>
          <w:sz w:val="24"/>
          <w:szCs w:val="24"/>
        </w:rPr>
      </w:pPr>
    </w:p>
    <w:p w14:paraId="5580FC81" w14:textId="107DD4A5" w:rsidR="00C15BD2" w:rsidRDefault="00304ED7" w:rsidP="00853F91">
      <w:pPr>
        <w:pStyle w:val="a5"/>
        <w:numPr>
          <w:ilvl w:val="0"/>
          <w:numId w:val="2"/>
        </w:numPr>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МСП</w:t>
      </w:r>
    </w:p>
    <w:p w14:paraId="7EFA35E0" w14:textId="77777777" w:rsidR="0095112E" w:rsidRPr="00F10141" w:rsidRDefault="0095112E" w:rsidP="0095112E">
      <w:pPr>
        <w:pStyle w:val="a5"/>
        <w:spacing w:line="240" w:lineRule="auto"/>
        <w:jc w:val="both"/>
        <w:rPr>
          <w:rFonts w:ascii="Times New Roman" w:hAnsi="Times New Roman" w:cs="Times New Roman"/>
          <w:b/>
          <w:sz w:val="24"/>
          <w:szCs w:val="24"/>
        </w:rPr>
      </w:pPr>
    </w:p>
    <w:p w14:paraId="273CEE59" w14:textId="77777777" w:rsidR="00DB2B93" w:rsidRPr="00F10141" w:rsidRDefault="00DB2B93" w:rsidP="00DB2B93">
      <w:pPr>
        <w:shd w:val="clear" w:color="auto" w:fill="F4F4F4"/>
        <w:jc w:val="center"/>
        <w:rPr>
          <w:rFonts w:ascii="Times New Roman" w:hAnsi="Times New Roman" w:cs="Times New Roman"/>
          <w:color w:val="E04E39"/>
          <w:sz w:val="24"/>
          <w:szCs w:val="24"/>
          <w:lang w:eastAsia="ru-RU"/>
        </w:rPr>
      </w:pPr>
      <w:r w:rsidRPr="00F10141">
        <w:rPr>
          <w:rFonts w:ascii="Times New Roman" w:hAnsi="Times New Roman" w:cs="Times New Roman"/>
          <w:b/>
          <w:bCs/>
          <w:color w:val="E04E39"/>
          <w:sz w:val="24"/>
          <w:szCs w:val="24"/>
          <w:lang w:eastAsia="ru-RU"/>
        </w:rPr>
        <w:t>1. Программа Корпорации МСП и ЦБ «ПСК Инвестиционная»</w:t>
      </w:r>
    </w:p>
    <w:p w14:paraId="2EA08D12"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Ставка</w:t>
      </w:r>
      <w:r w:rsidRPr="00F10141">
        <w:rPr>
          <w:rFonts w:ascii="Times New Roman" w:hAnsi="Times New Roman" w:cs="Times New Roman"/>
          <w:color w:val="000000"/>
          <w:sz w:val="24"/>
          <w:szCs w:val="24"/>
          <w:lang w:eastAsia="ru-RU"/>
        </w:rPr>
        <w:t>: до 10,5% годовых.</w:t>
      </w:r>
    </w:p>
    <w:p w14:paraId="6050AC93"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3 лет.</w:t>
      </w:r>
    </w:p>
    <w:p w14:paraId="11F976B8"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получить</w:t>
      </w:r>
      <w:r w:rsidRPr="00F10141">
        <w:rPr>
          <w:rFonts w:ascii="Times New Roman" w:hAnsi="Times New Roman" w:cs="Times New Roman"/>
          <w:color w:val="000000"/>
          <w:sz w:val="24"/>
          <w:szCs w:val="24"/>
          <w:lang w:eastAsia="ru-RU"/>
        </w:rPr>
        <w:t>: малые и средние предприятия любых отраслей</w:t>
      </w:r>
    </w:p>
    <w:p w14:paraId="2A4C393A"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Размер кредита</w:t>
      </w:r>
      <w:r w:rsidRPr="00F10141">
        <w:rPr>
          <w:rFonts w:ascii="Times New Roman" w:hAnsi="Times New Roman" w:cs="Times New Roman"/>
          <w:color w:val="000000"/>
          <w:sz w:val="24"/>
          <w:szCs w:val="24"/>
          <w:lang w:eastAsia="ru-RU"/>
        </w:rPr>
        <w:t>: от 3 млн до 1 млрд рублей для МСП</w:t>
      </w:r>
    </w:p>
    <w:p w14:paraId="493C2B61"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какие цели можно получить</w:t>
      </w:r>
      <w:r w:rsidRPr="00F10141">
        <w:rPr>
          <w:rFonts w:ascii="Times New Roman" w:hAnsi="Times New Roman" w:cs="Times New Roman"/>
          <w:color w:val="000000"/>
          <w:sz w:val="24"/>
          <w:szCs w:val="24"/>
          <w:lang w:eastAsia="ru-RU"/>
        </w:rPr>
        <w:t>:</w:t>
      </w:r>
    </w:p>
    <w:p w14:paraId="245902C1"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создание, приобретение основных средств, в том числе для модернизации и технического перевооружения,</w:t>
      </w:r>
    </w:p>
    <w:p w14:paraId="05CB69C7"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для строительства, реконструкции, модернизации объектов капитального строительства</w:t>
      </w:r>
    </w:p>
    <w:p w14:paraId="67A5AB97"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для пополнения оборотных средств*</w:t>
      </w:r>
    </w:p>
    <w:p w14:paraId="59B4B7D0"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рефинансирование ранее полученных кредитов*</w:t>
      </w:r>
    </w:p>
    <w:p w14:paraId="04FC9F5A" w14:textId="77777777"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Требования к заемщику</w:t>
      </w:r>
      <w:r w:rsidRPr="00F10141">
        <w:rPr>
          <w:rFonts w:ascii="Times New Roman" w:hAnsi="Times New Roman" w:cs="Times New Roman"/>
          <w:color w:val="000000"/>
          <w:sz w:val="24"/>
          <w:szCs w:val="24"/>
          <w:lang w:eastAsia="ru-RU"/>
        </w:rPr>
        <w:t>:</w:t>
      </w:r>
    </w:p>
    <w:p w14:paraId="6A79EBAD"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внесен в реестр субъектов МСП</w:t>
      </w:r>
    </w:p>
    <w:p w14:paraId="62533D96"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входит в одну группу с компаниями крупного бизнеса</w:t>
      </w:r>
    </w:p>
    <w:p w14:paraId="2E6E995B"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находится в стадии ликвидации и банкротства</w:t>
      </w:r>
    </w:p>
    <w:p w14:paraId="63FE072E" w14:textId="77777777" w:rsidR="00DB2B93" w:rsidRPr="00F10141" w:rsidRDefault="00DB2B93" w:rsidP="00DB2B93">
      <w:pPr>
        <w:numPr>
          <w:ilvl w:val="1"/>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не осуществляет подакцизную деятельность (есть исключения)</w:t>
      </w:r>
    </w:p>
    <w:p w14:paraId="236668B9" w14:textId="3AB1638B" w:rsidR="00DB2B93" w:rsidRPr="00F10141" w:rsidRDefault="00DB2B93" w:rsidP="00DB2B93">
      <w:pPr>
        <w:numPr>
          <w:ilvl w:val="0"/>
          <w:numId w:val="9"/>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Программа будет работать до конца 2022 года.</w:t>
      </w:r>
    </w:p>
    <w:p w14:paraId="2ACC4219" w14:textId="77777777" w:rsidR="00DB2B93" w:rsidRPr="00F10141" w:rsidRDefault="00DB2B93" w:rsidP="00DB2B93">
      <w:pPr>
        <w:shd w:val="clear" w:color="auto" w:fill="ECECEC"/>
        <w:spacing w:before="600" w:line="420" w:lineRule="atLeast"/>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 в банках с рейтингом ниже «BB(RU)» по классификации кредитного рейтингового агентства АКРА (АО) или «ruBB» по классификации кредитного рейтингового агентства АО «Эксперт РА» можно получить кредит на пополнение оборотных средств и рефинансирование</w:t>
      </w:r>
    </w:p>
    <w:p w14:paraId="7FC6DCD9" w14:textId="0B136024" w:rsidR="00E50ADD"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Сколько действует льготная ставка? </w:t>
      </w:r>
      <w:r w:rsidRPr="00F10141">
        <w:rPr>
          <w:rFonts w:ascii="Times New Roman" w:hAnsi="Times New Roman" w:cs="Times New Roman"/>
          <w:color w:val="000000"/>
          <w:sz w:val="24"/>
          <w:szCs w:val="24"/>
          <w:lang w:eastAsia="ru-RU"/>
        </w:rPr>
        <w:t>Ставка действует 3 года. Кредит можно взять и на больший срок, но по его истечении банк вправе изменить ставку с учетом рыночного показателя.</w:t>
      </w:r>
    </w:p>
    <w:p w14:paraId="3A46E0AA" w14:textId="77777777" w:rsidR="0095112E" w:rsidRPr="003559A3" w:rsidRDefault="0095112E" w:rsidP="003559A3">
      <w:pPr>
        <w:pStyle w:val="a5"/>
        <w:spacing w:line="240" w:lineRule="auto"/>
        <w:jc w:val="both"/>
        <w:rPr>
          <w:rFonts w:ascii="Times New Roman" w:hAnsi="Times New Roman" w:cs="Times New Roman"/>
          <w:b/>
          <w:sz w:val="24"/>
          <w:szCs w:val="24"/>
        </w:rPr>
      </w:pPr>
    </w:p>
    <w:p w14:paraId="26FFB8FC" w14:textId="77777777" w:rsidR="00DB2B93" w:rsidRPr="00F10141" w:rsidRDefault="00DB2B93" w:rsidP="00DB2B93">
      <w:pPr>
        <w:shd w:val="clear" w:color="auto" w:fill="F4F4F4"/>
        <w:jc w:val="center"/>
        <w:rPr>
          <w:rFonts w:ascii="Times New Roman" w:hAnsi="Times New Roman" w:cs="Times New Roman"/>
          <w:b/>
          <w:bCs/>
          <w:color w:val="E04E39"/>
          <w:sz w:val="24"/>
          <w:szCs w:val="24"/>
          <w:lang w:eastAsia="ru-RU"/>
        </w:rPr>
      </w:pPr>
      <w:r w:rsidRPr="00F10141">
        <w:rPr>
          <w:rFonts w:ascii="Times New Roman" w:hAnsi="Times New Roman" w:cs="Times New Roman"/>
          <w:b/>
          <w:bCs/>
          <w:color w:val="E04E39"/>
          <w:sz w:val="24"/>
          <w:szCs w:val="24"/>
          <w:lang w:eastAsia="ru-RU"/>
        </w:rPr>
        <w:t>2. Программа Банка России «ПСК Оборотная»</w:t>
      </w:r>
    </w:p>
    <w:p w14:paraId="2FB73C4C" w14:textId="77777777" w:rsidR="00DB2B93" w:rsidRPr="00F10141"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Ставки и размер кредита:</w:t>
      </w:r>
      <w:r w:rsidRPr="00F10141">
        <w:rPr>
          <w:rFonts w:ascii="Times New Roman" w:hAnsi="Times New Roman" w:cs="Times New Roman"/>
          <w:color w:val="000000"/>
          <w:sz w:val="24"/>
          <w:szCs w:val="24"/>
          <w:lang w:eastAsia="ru-RU"/>
        </w:rPr>
        <w:t> микро- и малый бизнес может получить кредит на сумму до 300 млн рублей по ставке не выше 15% годовых, средний бизнес на сумму до 1 млрд рублей – по ставке не выше 13,5% без ограничений по цели кредитования</w:t>
      </w:r>
    </w:p>
    <w:p w14:paraId="2390EF3A" w14:textId="77777777" w:rsidR="00DB2B93" w:rsidRPr="00F10141"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1 года</w:t>
      </w:r>
    </w:p>
    <w:p w14:paraId="0A363FB8" w14:textId="77777777" w:rsidR="00DB2B93" w:rsidRDefault="00DB2B93" w:rsidP="00DB2B93">
      <w:pPr>
        <w:numPr>
          <w:ilvl w:val="0"/>
          <w:numId w:val="10"/>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 июле 2022 года лимит программы был практически выбран</w:t>
      </w:r>
    </w:p>
    <w:p w14:paraId="5FF1C3F7" w14:textId="77777777" w:rsidR="0095112E" w:rsidRPr="003F6A48" w:rsidRDefault="0095112E" w:rsidP="003F6A48">
      <w:pPr>
        <w:pStyle w:val="a5"/>
        <w:spacing w:line="240" w:lineRule="auto"/>
        <w:jc w:val="both"/>
        <w:rPr>
          <w:rFonts w:ascii="Times New Roman" w:hAnsi="Times New Roman" w:cs="Times New Roman"/>
          <w:b/>
          <w:sz w:val="24"/>
          <w:szCs w:val="24"/>
        </w:rPr>
      </w:pPr>
    </w:p>
    <w:p w14:paraId="02D79BE2" w14:textId="77777777" w:rsidR="00DB2B93" w:rsidRPr="00F10141" w:rsidRDefault="00DB2B93" w:rsidP="00DB2B93">
      <w:pPr>
        <w:shd w:val="clear" w:color="auto" w:fill="F4F4F4"/>
        <w:jc w:val="center"/>
        <w:rPr>
          <w:rFonts w:ascii="Times New Roman" w:hAnsi="Times New Roman" w:cs="Times New Roman"/>
          <w:b/>
          <w:bCs/>
          <w:color w:val="E04E39"/>
          <w:sz w:val="24"/>
          <w:szCs w:val="24"/>
          <w:lang w:eastAsia="ru-RU"/>
        </w:rPr>
      </w:pPr>
      <w:r w:rsidRPr="00F10141">
        <w:rPr>
          <w:rFonts w:ascii="Times New Roman" w:hAnsi="Times New Roman" w:cs="Times New Roman"/>
          <w:b/>
          <w:bCs/>
          <w:color w:val="E04E39"/>
          <w:sz w:val="24"/>
          <w:szCs w:val="24"/>
          <w:lang w:eastAsia="ru-RU"/>
        </w:rPr>
        <w:t>3. Программа «1764»</w:t>
      </w:r>
    </w:p>
    <w:p w14:paraId="70ECAF37"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Программа запущена в 2019 году в рамках нацпроекта по поддержке МСП. Максимальная ставка - 10,25%. </w:t>
      </w:r>
    </w:p>
    <w:p w14:paraId="0F447E34"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Учитывая повышенный спрос бизнеса на оборотные средства, планируется, что 80% всех кредитов будут выдаваться именно на эти цели. На реализацию программы в 2022 году Правительством дополнительно выделено 14,3 млрд рублей.</w:t>
      </w:r>
    </w:p>
    <w:p w14:paraId="0D4CAD78"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действия программы</w:t>
      </w:r>
      <w:r w:rsidRPr="00F10141">
        <w:rPr>
          <w:rFonts w:ascii="Times New Roman" w:hAnsi="Times New Roman" w:cs="Times New Roman"/>
          <w:color w:val="000000"/>
          <w:sz w:val="24"/>
          <w:szCs w:val="24"/>
          <w:lang w:eastAsia="ru-RU"/>
        </w:rPr>
        <w:t>: до 2024 года.</w:t>
      </w:r>
    </w:p>
    <w:p w14:paraId="51A78A8B"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Размер кредита</w:t>
      </w:r>
      <w:r w:rsidRPr="00F10141">
        <w:rPr>
          <w:rFonts w:ascii="Times New Roman" w:hAnsi="Times New Roman" w:cs="Times New Roman"/>
          <w:color w:val="000000"/>
          <w:sz w:val="24"/>
          <w:szCs w:val="24"/>
          <w:lang w:eastAsia="ru-RU"/>
        </w:rPr>
        <w:t>: для микропредприятий (число сотрудников не превышает 15 человек, а годовая выручка – 120 млн рублей) – до 200 млн рублей, для малого бизнеса – до 500 млн рублей, для среднего – до 500 млн рублей на пополнение оборота и до 2 млрд рублей на инвестиции. Минимальный размер кредита – 500 тыс. рублей.</w:t>
      </w:r>
    </w:p>
    <w:p w14:paraId="237AC7F2"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p>
    <w:p w14:paraId="38555366"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оборотные средства – до 3 лет</w:t>
      </w:r>
    </w:p>
    <w:p w14:paraId="3C6D4AA5"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инвестиционные цели – до 10 лет</w:t>
      </w:r>
    </w:p>
    <w:p w14:paraId="47D56692" w14:textId="77777777" w:rsidR="00DB2B93" w:rsidRPr="00F10141" w:rsidRDefault="00DB2B93" w:rsidP="00DB2B93">
      <w:pPr>
        <w:numPr>
          <w:ilvl w:val="1"/>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На рефинансирование – на срок, не превышающий первоначальный срок кредита и верхний предел по инвестцелям</w:t>
      </w:r>
    </w:p>
    <w:p w14:paraId="60CCC594" w14:textId="77777777" w:rsidR="00DB2B93" w:rsidRPr="00F10141" w:rsidRDefault="00DB2B93" w:rsidP="00DB2B93">
      <w:pPr>
        <w:numPr>
          <w:ilvl w:val="0"/>
          <w:numId w:val="11"/>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получить</w:t>
      </w:r>
      <w:r w:rsidRPr="00F10141">
        <w:rPr>
          <w:rFonts w:ascii="Times New Roman" w:hAnsi="Times New Roman" w:cs="Times New Roman"/>
          <w:color w:val="000000"/>
          <w:sz w:val="24"/>
          <w:szCs w:val="24"/>
          <w:lang w:eastAsia="ru-RU"/>
        </w:rPr>
        <w:t>: компании малого и среднего бизнеса, ИП и самозанятые, работающие в приоритетных для государства отраслях как по основному, так и по дополнительному ОКВЭД.</w:t>
      </w:r>
    </w:p>
    <w:p w14:paraId="57B12F58"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Льготные кредиты можно взять на конкретные цели:</w:t>
      </w:r>
    </w:p>
    <w:p w14:paraId="43722713"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Инвестиционные</w:t>
      </w:r>
      <w:r w:rsidRPr="00F10141">
        <w:rPr>
          <w:rFonts w:ascii="Times New Roman" w:hAnsi="Times New Roman" w:cs="Times New Roman"/>
          <w:color w:val="000000"/>
          <w:sz w:val="24"/>
          <w:szCs w:val="24"/>
          <w:lang w:eastAsia="ru-RU"/>
        </w:rPr>
        <w:t> – от 500 тыс. до 2 млрд рублей (по ставке, рассчитываемой как «ключевая ставка + 2,75% годовых», в течение 5 лет), срок погашения – до 10 лет. Можно получить деньги на развитие бизнеса – например, покупку нового оборудования или помещения, реконструкцию производства.</w:t>
      </w:r>
    </w:p>
    <w:p w14:paraId="0D51D128"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пополнение оборотных средств </w:t>
      </w:r>
      <w:r w:rsidRPr="00F10141">
        <w:rPr>
          <w:rFonts w:ascii="Times New Roman" w:hAnsi="Times New Roman" w:cs="Times New Roman"/>
          <w:color w:val="000000"/>
          <w:sz w:val="24"/>
          <w:szCs w:val="24"/>
          <w:lang w:eastAsia="ru-RU"/>
        </w:rPr>
        <w:t>– от 500 тыс. до 500 млн рублей (по ставке, рассчитываемой как «ключевая ставка + 2,75% годовых», в течение 3 лет), срок погашения – до 3 лет. Деньги можно потратить, например, на закупку новой партии сырья или выплату зарплаты сотрудникам.</w:t>
      </w:r>
    </w:p>
    <w:p w14:paraId="16D1A96D"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рефинансирование</w:t>
      </w:r>
      <w:r w:rsidRPr="00F10141">
        <w:rPr>
          <w:rFonts w:ascii="Times New Roman" w:hAnsi="Times New Roman" w:cs="Times New Roman"/>
          <w:color w:val="000000"/>
          <w:sz w:val="24"/>
          <w:szCs w:val="24"/>
          <w:lang w:eastAsia="ru-RU"/>
        </w:rPr>
        <w:t>. В рамках программы предприниматель может рефинансировать старый кредит, в том числе заключенный по программе «1764», по ставке, рассчитываемой как «ключевая ставка + 2,75% годовых».</w:t>
      </w:r>
    </w:p>
    <w:p w14:paraId="045D6F6D" w14:textId="77777777" w:rsidR="00DB2B93" w:rsidRPr="00F10141" w:rsidRDefault="00DB2B93" w:rsidP="00DB2B93">
      <w:pPr>
        <w:numPr>
          <w:ilvl w:val="0"/>
          <w:numId w:val="12"/>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На развитие предпринимательской деятельности</w:t>
      </w:r>
      <w:r w:rsidRPr="00F10141">
        <w:rPr>
          <w:rFonts w:ascii="Times New Roman" w:hAnsi="Times New Roman" w:cs="Times New Roman"/>
          <w:color w:val="000000"/>
          <w:sz w:val="24"/>
          <w:szCs w:val="24"/>
          <w:lang w:eastAsia="ru-RU"/>
        </w:rPr>
        <w:t> – до 10 млн рублей на срок до 3 лет по ставке, рассчитываемой как «ключевая ставка + 3,5% годовых» для микропредприятий и самозанятых.</w:t>
      </w:r>
    </w:p>
    <w:p w14:paraId="5313F600" w14:textId="77777777" w:rsidR="00DB2B93"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Взять кредит по программе «1764» можно в 100 российских банках, в том числе региональных.</w:t>
      </w:r>
    </w:p>
    <w:p w14:paraId="3076B893" w14:textId="77777777" w:rsidR="0095112E" w:rsidRPr="003559A3" w:rsidRDefault="0095112E" w:rsidP="003559A3">
      <w:pPr>
        <w:pStyle w:val="a5"/>
        <w:spacing w:line="240" w:lineRule="auto"/>
        <w:jc w:val="both"/>
        <w:rPr>
          <w:rFonts w:ascii="Times New Roman" w:hAnsi="Times New Roman" w:cs="Times New Roman"/>
          <w:b/>
          <w:sz w:val="24"/>
          <w:szCs w:val="24"/>
        </w:rPr>
      </w:pPr>
    </w:p>
    <w:p w14:paraId="636A4266" w14:textId="028B709B" w:rsidR="00DB2B93" w:rsidRPr="00F10141" w:rsidRDefault="00DB2B93" w:rsidP="00DB2B93">
      <w:pPr>
        <w:shd w:val="clear" w:color="auto" w:fill="F4F4F4"/>
        <w:jc w:val="center"/>
        <w:rPr>
          <w:rFonts w:ascii="Times New Roman" w:hAnsi="Times New Roman" w:cs="Times New Roman"/>
          <w:color w:val="E04E39"/>
          <w:sz w:val="24"/>
          <w:szCs w:val="24"/>
          <w:lang w:eastAsia="ru-RU"/>
        </w:rPr>
      </w:pPr>
      <w:r w:rsidRPr="00F10141">
        <w:rPr>
          <w:rFonts w:ascii="Times New Roman" w:hAnsi="Times New Roman" w:cs="Times New Roman"/>
          <w:b/>
          <w:bCs/>
          <w:color w:val="E04E39"/>
          <w:sz w:val="24"/>
          <w:szCs w:val="24"/>
          <w:lang w:eastAsia="ru-RU"/>
        </w:rPr>
        <w:t>4. Инвестиционный льготный кредит под 2,5–4%</w:t>
      </w:r>
    </w:p>
    <w:p w14:paraId="6075F08B" w14:textId="77777777"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Совместная программа Правительства, Центробанка и Корпорации МСП. </w:t>
      </w:r>
      <w:hyperlink r:id="rId15" w:tgtFrame="_blank" w:history="1">
        <w:r w:rsidRPr="00F10141">
          <w:rPr>
            <w:rStyle w:val="a4"/>
            <w:rFonts w:ascii="Times New Roman" w:hAnsi="Times New Roman" w:cs="Times New Roman"/>
            <w:b/>
            <w:bCs/>
            <w:color w:val="000000"/>
            <w:sz w:val="24"/>
            <w:szCs w:val="24"/>
          </w:rPr>
          <w:t>Документ</w:t>
        </w:r>
      </w:hyperlink>
      <w:r w:rsidRPr="00F10141">
        <w:rPr>
          <w:rFonts w:ascii="Times New Roman" w:hAnsi="Times New Roman" w:cs="Times New Roman"/>
          <w:color w:val="000000"/>
          <w:sz w:val="24"/>
          <w:szCs w:val="24"/>
          <w:lang w:eastAsia="ru-RU"/>
        </w:rPr>
        <w:t> инициирован Минэкономразвития РФ. Новый инструмент поддержки появился благодаря совмещению двух действующих федеральных программ: «1764» и «ПСК».</w:t>
      </w:r>
    </w:p>
    <w:p w14:paraId="572C814E"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Сумма кредита: </w:t>
      </w:r>
      <w:r w:rsidRPr="00F10141">
        <w:rPr>
          <w:rFonts w:ascii="Times New Roman" w:hAnsi="Times New Roman" w:cs="Times New Roman"/>
          <w:color w:val="000000"/>
          <w:sz w:val="24"/>
          <w:szCs w:val="24"/>
          <w:lang w:eastAsia="ru-RU"/>
        </w:rPr>
        <w:t>от 50 млн до 1 млрд рублей</w:t>
      </w:r>
    </w:p>
    <w:p w14:paraId="616982BF"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Ставки</w:t>
      </w:r>
      <w:r w:rsidRPr="00F10141">
        <w:rPr>
          <w:rFonts w:ascii="Times New Roman" w:hAnsi="Times New Roman" w:cs="Times New Roman"/>
          <w:color w:val="000000"/>
          <w:sz w:val="24"/>
          <w:szCs w:val="24"/>
          <w:lang w:eastAsia="ru-RU"/>
        </w:rPr>
        <w:t>: для среднего бизнеса – 2,5%, для малого и микробизнеса – 4%</w:t>
      </w:r>
    </w:p>
    <w:p w14:paraId="27C9CB6E"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кредита:</w:t>
      </w:r>
      <w:r w:rsidRPr="00F10141">
        <w:rPr>
          <w:rFonts w:ascii="Times New Roman" w:hAnsi="Times New Roman" w:cs="Times New Roman"/>
          <w:color w:val="000000"/>
          <w:sz w:val="24"/>
          <w:szCs w:val="24"/>
          <w:lang w:eastAsia="ru-RU"/>
        </w:rPr>
        <w:t> до 10 лет. Срок действия льготного периода составит 3 года, в следующие 2 года ставка будет рассчитываться по формуле «ключевая ставка на дату подписания договора + не более чем 2,75%»</w:t>
      </w:r>
    </w:p>
    <w:p w14:paraId="038DFFF9"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Цели</w:t>
      </w:r>
      <w:r w:rsidRPr="00F10141">
        <w:rPr>
          <w:rFonts w:ascii="Times New Roman" w:hAnsi="Times New Roman" w:cs="Times New Roman"/>
          <w:color w:val="000000"/>
          <w:sz w:val="24"/>
          <w:szCs w:val="24"/>
          <w:lang w:eastAsia="ru-RU"/>
        </w:rPr>
        <w:t>: закупка оборудования, капитальный ремонт производственных помещений или запуск новых производств</w:t>
      </w:r>
    </w:p>
    <w:p w14:paraId="79A1B218"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Кто может взять кредит:</w:t>
      </w:r>
      <w:r w:rsidRPr="00F10141">
        <w:rPr>
          <w:rFonts w:ascii="Times New Roman" w:hAnsi="Times New Roman" w:cs="Times New Roman"/>
          <w:color w:val="000000"/>
          <w:sz w:val="24"/>
          <w:szCs w:val="24"/>
          <w:lang w:eastAsia="ru-RU"/>
        </w:rPr>
        <w:t> в рамках пилота – обрабатывающее производство, переработка сельхозпродукции, логистика и гостиничный бизнес. </w:t>
      </w:r>
      <w:hyperlink r:id="rId16" w:tgtFrame="_blank" w:history="1">
        <w:r w:rsidRPr="00F10141">
          <w:rPr>
            <w:rStyle w:val="a4"/>
            <w:rFonts w:ascii="Times New Roman" w:hAnsi="Times New Roman" w:cs="Times New Roman"/>
            <w:b/>
            <w:bCs/>
            <w:color w:val="000000"/>
            <w:sz w:val="24"/>
            <w:szCs w:val="24"/>
          </w:rPr>
          <w:t>Полный перечень пилотных кодов ОКВЭД</w:t>
        </w:r>
      </w:hyperlink>
    </w:p>
    <w:p w14:paraId="4B3A3D3A"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Срок действия программы: </w:t>
      </w:r>
      <w:r w:rsidRPr="00F10141">
        <w:rPr>
          <w:rFonts w:ascii="Times New Roman" w:hAnsi="Times New Roman" w:cs="Times New Roman"/>
          <w:color w:val="000000"/>
          <w:sz w:val="24"/>
          <w:szCs w:val="24"/>
          <w:lang w:eastAsia="ru-RU"/>
        </w:rPr>
        <w:t>до конца 2022 года</w:t>
      </w:r>
    </w:p>
    <w:p w14:paraId="144BB350" w14:textId="77777777" w:rsidR="00DB2B93" w:rsidRPr="00F10141" w:rsidRDefault="00DB2B93" w:rsidP="00DB2B93">
      <w:pPr>
        <w:numPr>
          <w:ilvl w:val="0"/>
          <w:numId w:val="13"/>
        </w:numPr>
        <w:shd w:val="clear" w:color="auto" w:fill="F4F4F4"/>
        <w:spacing w:after="0" w:line="240" w:lineRule="auto"/>
        <w:ind w:left="0"/>
        <w:rPr>
          <w:rFonts w:ascii="Times New Roman" w:hAnsi="Times New Roman" w:cs="Times New Roman"/>
          <w:color w:val="000000"/>
          <w:sz w:val="24"/>
          <w:szCs w:val="24"/>
          <w:lang w:eastAsia="ru-RU"/>
        </w:rPr>
      </w:pPr>
      <w:r w:rsidRPr="00F10141">
        <w:rPr>
          <w:rFonts w:ascii="Times New Roman" w:hAnsi="Times New Roman" w:cs="Times New Roman"/>
          <w:b/>
          <w:bCs/>
          <w:color w:val="000000"/>
          <w:sz w:val="24"/>
          <w:szCs w:val="24"/>
          <w:lang w:eastAsia="ru-RU"/>
        </w:rPr>
        <w:t>Общий объем программы</w:t>
      </w:r>
      <w:r w:rsidRPr="00F10141">
        <w:rPr>
          <w:rFonts w:ascii="Times New Roman" w:hAnsi="Times New Roman" w:cs="Times New Roman"/>
          <w:color w:val="000000"/>
          <w:sz w:val="24"/>
          <w:szCs w:val="24"/>
          <w:lang w:eastAsia="ru-RU"/>
        </w:rPr>
        <w:t>: до 50 млрд рублей</w:t>
      </w:r>
    </w:p>
    <w:p w14:paraId="7EBB84B0" w14:textId="13BE8A06" w:rsidR="00DB2B93" w:rsidRPr="00F10141" w:rsidRDefault="00DB2B93" w:rsidP="00DB2B93">
      <w:pPr>
        <w:shd w:val="clear" w:color="auto" w:fill="F4F4F4"/>
        <w:rPr>
          <w:rFonts w:ascii="Times New Roman" w:hAnsi="Times New Roman" w:cs="Times New Roman"/>
          <w:color w:val="000000"/>
          <w:sz w:val="24"/>
          <w:szCs w:val="24"/>
          <w:lang w:eastAsia="ru-RU"/>
        </w:rPr>
      </w:pPr>
      <w:r w:rsidRPr="00F10141">
        <w:rPr>
          <w:rFonts w:ascii="Times New Roman" w:hAnsi="Times New Roman" w:cs="Times New Roman"/>
          <w:color w:val="000000"/>
          <w:sz w:val="24"/>
          <w:szCs w:val="24"/>
          <w:lang w:eastAsia="ru-RU"/>
        </w:rPr>
        <w:t xml:space="preserve">В программе участвуют 48 банков. </w:t>
      </w:r>
    </w:p>
    <w:p w14:paraId="07FE043B" w14:textId="77777777" w:rsidR="00393BEE" w:rsidRDefault="00393BEE" w:rsidP="001E0B26">
      <w:pPr>
        <w:shd w:val="clear" w:color="auto" w:fill="FFFFFF" w:themeFill="background1"/>
        <w:spacing w:line="240" w:lineRule="auto"/>
        <w:jc w:val="both"/>
        <w:rPr>
          <w:rFonts w:ascii="Times New Roman" w:hAnsi="Times New Roman" w:cs="Times New Roman"/>
          <w:b/>
          <w:sz w:val="24"/>
          <w:szCs w:val="24"/>
        </w:rPr>
      </w:pPr>
    </w:p>
    <w:p w14:paraId="6FFF57B1" w14:textId="77777777" w:rsidR="00EE47C0" w:rsidRDefault="00EE47C0" w:rsidP="001E0B26">
      <w:pPr>
        <w:shd w:val="clear" w:color="auto" w:fill="FFFFFF" w:themeFill="background1"/>
        <w:spacing w:line="240" w:lineRule="auto"/>
        <w:jc w:val="both"/>
        <w:rPr>
          <w:rFonts w:ascii="Times New Roman" w:hAnsi="Times New Roman" w:cs="Times New Roman"/>
          <w:b/>
          <w:sz w:val="24"/>
          <w:szCs w:val="24"/>
        </w:rPr>
      </w:pPr>
    </w:p>
    <w:p w14:paraId="31D41C7C" w14:textId="77777777" w:rsidR="00EE47C0" w:rsidRDefault="00EE47C0" w:rsidP="001E0B26">
      <w:pPr>
        <w:shd w:val="clear" w:color="auto" w:fill="FFFFFF" w:themeFill="background1"/>
        <w:spacing w:line="240" w:lineRule="auto"/>
        <w:jc w:val="both"/>
        <w:rPr>
          <w:rFonts w:ascii="Times New Roman" w:hAnsi="Times New Roman" w:cs="Times New Roman"/>
          <w:b/>
          <w:sz w:val="24"/>
          <w:szCs w:val="24"/>
        </w:rPr>
      </w:pPr>
    </w:p>
    <w:p w14:paraId="31558C34" w14:textId="77777777" w:rsidR="00EE47C0" w:rsidRDefault="00EE47C0" w:rsidP="001E0B26">
      <w:pPr>
        <w:shd w:val="clear" w:color="auto" w:fill="FFFFFF" w:themeFill="background1"/>
        <w:spacing w:line="240" w:lineRule="auto"/>
        <w:jc w:val="both"/>
        <w:rPr>
          <w:rFonts w:ascii="Times New Roman" w:hAnsi="Times New Roman" w:cs="Times New Roman"/>
          <w:b/>
          <w:sz w:val="24"/>
          <w:szCs w:val="24"/>
        </w:rPr>
      </w:pPr>
    </w:p>
    <w:p w14:paraId="39F0617C" w14:textId="77777777" w:rsidR="00EE47C0" w:rsidRDefault="00EE47C0" w:rsidP="001E0B26">
      <w:pPr>
        <w:shd w:val="clear" w:color="auto" w:fill="FFFFFF" w:themeFill="background1"/>
        <w:spacing w:line="240" w:lineRule="auto"/>
        <w:jc w:val="both"/>
        <w:rPr>
          <w:rFonts w:ascii="Times New Roman" w:hAnsi="Times New Roman" w:cs="Times New Roman"/>
          <w:b/>
          <w:sz w:val="24"/>
          <w:szCs w:val="24"/>
        </w:rPr>
      </w:pPr>
    </w:p>
    <w:p w14:paraId="55D8AD89" w14:textId="77777777" w:rsidR="00EE47C0" w:rsidRPr="00F10141" w:rsidRDefault="00EE47C0" w:rsidP="001E0B26">
      <w:pPr>
        <w:shd w:val="clear" w:color="auto" w:fill="FFFFFF" w:themeFill="background1"/>
        <w:spacing w:line="240" w:lineRule="auto"/>
        <w:jc w:val="both"/>
        <w:rPr>
          <w:rFonts w:ascii="Times New Roman" w:hAnsi="Times New Roman" w:cs="Times New Roman"/>
          <w:b/>
          <w:sz w:val="24"/>
          <w:szCs w:val="24"/>
        </w:rPr>
      </w:pPr>
    </w:p>
    <w:p w14:paraId="6444C34D" w14:textId="32DE710F" w:rsidR="005F7839" w:rsidRPr="00F10141" w:rsidRDefault="005F7839" w:rsidP="00304ED7">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для инновационных МСП</w:t>
      </w:r>
    </w:p>
    <w:p w14:paraId="3D054AEC"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F18136F"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Процентная ставка по льготным кредитам для малых и средних предприятий, выпускающих высокотехнологичную и инновационную продукцию составит 3%. Разницу между рыночной и льготной ставками кредитору возместит государство.</w:t>
      </w:r>
    </w:p>
    <w:p w14:paraId="29AE38AE"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Кредиты будут предоставляться на инвестиционные цели и на пополнение оборотных средств на срок до трёх лет. Максимальный размер кредита – 500 млн рублей.</w:t>
      </w:r>
    </w:p>
    <w:p w14:paraId="1BC13D43"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федеральном бюджете на субсидирование процентных ставок по таким кредитам в ближайшие три года предусмотрено почти 4 млрд рублей. В 2022 году – 750 млн рублей, в 2023 году – 1,4 млрд рублей, в 2024-м – 1,8 млрд рублей.</w:t>
      </w:r>
    </w:p>
    <w:p w14:paraId="5F57E2D8"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финансовый инструмент будет запущен в рамках федерального проекта «Взлёт от стартапа до IPO».</w:t>
      </w:r>
    </w:p>
    <w:p w14:paraId="73655BF0" w14:textId="77777777" w:rsidR="003F6A48"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0D9C27C5" w14:textId="1284F469"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2022–2024 годы</w:t>
      </w:r>
    </w:p>
    <w:p w14:paraId="3AAE6AF0"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50493FC5"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Присутствие в едином реестре МСП</w:t>
      </w:r>
    </w:p>
    <w:p w14:paraId="25204674"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Осуществление деятельности не менее 3-х лет;</w:t>
      </w:r>
    </w:p>
    <w:p w14:paraId="623B9A78"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Годовой объем выручки более 100 млн рублей;</w:t>
      </w:r>
    </w:p>
    <w:p w14:paraId="23A1CEA1"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Темп роста (CAGR) выручки за 3 предыдущие года не менее 12%;</w:t>
      </w:r>
    </w:p>
    <w:p w14:paraId="1180B295" w14:textId="059B71F6"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Ведение деятельности в приоритетных отраслях из перечня, определенного постановлением Правительства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114FCB88" w14:textId="376FA290"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Создание или использование высоких технологий из перечня, определенного постановлением Правительства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3D3FEC3C"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Наличие результатов интеллектуальной деятельности.</w:t>
      </w:r>
    </w:p>
    <w:p w14:paraId="58568CBE"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Как получить</w:t>
      </w:r>
    </w:p>
    <w:p w14:paraId="0B6231CA"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Подача заявок на кредит доступна на Цифровой платформе МСП.РФ. Подать заявку и отслеживать статусы её рассмотрения можно онлайн.</w:t>
      </w:r>
    </w:p>
    <w:p w14:paraId="511CC0EA"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период формирования заявок сотрудники Корпорации МСП и АО «МСП Банк» будут оказывать сопровождение и консультации предпринимателям.</w:t>
      </w:r>
    </w:p>
    <w:p w14:paraId="5721A321"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Подать заявку на кредит на Цифровой платформе МСП.РФ</w:t>
      </w:r>
    </w:p>
    <w:p w14:paraId="407C05D3" w14:textId="77777777"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0F84B83" w14:textId="50BC50FE" w:rsidR="005F7839" w:rsidRPr="00F10141" w:rsidRDefault="005F783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25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469</w:t>
      </w:r>
    </w:p>
    <w:p w14:paraId="1C80AAA0" w14:textId="77777777" w:rsidR="00BA2694" w:rsidRDefault="00BA2694" w:rsidP="00766679">
      <w:pPr>
        <w:shd w:val="clear" w:color="auto" w:fill="FFFFFF" w:themeFill="background1"/>
        <w:spacing w:line="240" w:lineRule="auto"/>
        <w:jc w:val="both"/>
        <w:rPr>
          <w:rFonts w:ascii="Times New Roman" w:hAnsi="Times New Roman" w:cs="Times New Roman"/>
          <w:b/>
          <w:sz w:val="24"/>
          <w:szCs w:val="24"/>
        </w:rPr>
      </w:pPr>
    </w:p>
    <w:p w14:paraId="7486324A" w14:textId="77777777" w:rsidR="00EE47C0" w:rsidRPr="00F10141" w:rsidRDefault="00EE47C0" w:rsidP="00766679">
      <w:pPr>
        <w:shd w:val="clear" w:color="auto" w:fill="FFFFFF" w:themeFill="background1"/>
        <w:spacing w:line="240" w:lineRule="auto"/>
        <w:jc w:val="both"/>
        <w:rPr>
          <w:rFonts w:ascii="Times New Roman" w:hAnsi="Times New Roman" w:cs="Times New Roman"/>
          <w:b/>
          <w:sz w:val="24"/>
          <w:szCs w:val="24"/>
        </w:rPr>
      </w:pPr>
    </w:p>
    <w:p w14:paraId="2D385DA3" w14:textId="77777777" w:rsidR="00236836" w:rsidRPr="00F10141" w:rsidRDefault="00236836"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Кредитные каникулы для аграриев</w:t>
      </w:r>
    </w:p>
    <w:p w14:paraId="666D12F9"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17DD5B8"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Сельхозпроизводители получили право полугодичной отсрочки платежей по льготным инвестиционным кредитам, срок договоров по которым истекает в 2022 году.</w:t>
      </w:r>
    </w:p>
    <w:p w14:paraId="537C9F9A"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Речь идёт о платежах, которые приходятся на период с 1 марта по 31 мая 2022 года. При положительном решении банка о предоставлении кредитных каникул отсрочка по таким платежам может достигать шести месяцев.</w:t>
      </w:r>
    </w:p>
    <w:p w14:paraId="6F03B3C8"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Для краткосрочных льготных займов, срок договоров по которым также истекает в 2022 году, предусмотрена возможность пролонгации срока кредита ещё на один год. Таким образом, сельхозпроизводители смогут уменьшить размер ежемесячных платежей и снизить кредитную нагрузку.</w:t>
      </w:r>
    </w:p>
    <w:p w14:paraId="7C14E6FB"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Ряд изменений направлен на поддержку банков, участвующих в программе льготного кредитования. Размер субсидированной ставки по выданным краткосрочным кредитам теперь увеличен до 100% ключевой ставки ЦБ. Раньше этот показатель составлял 80%.</w:t>
      </w:r>
    </w:p>
    <w:p w14:paraId="48EE179B" w14:textId="77777777" w:rsidR="00236836"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Несмотря на повышение ключевой ставки ЦБ, льготная ставка для заёмщиков останется прежней – до 5% годовых. Новые кредиты также будут выдавать на этих условиях.</w:t>
      </w:r>
    </w:p>
    <w:p w14:paraId="710C68DA" w14:textId="77777777" w:rsidR="009620E8" w:rsidRPr="00F10141" w:rsidRDefault="00236836"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Льготная кредитная программа для аграриев была запущена в 2017 году. В её рамках сельхозпроизводители могут взять краткосрочный или инвестиционный кредит по ставке до 5% на развитие растениеводства и животноводства, а также на строительство, реконструкцию или модернизацию предприятий по переработке сельхозсырья. Льготный краткосрочный кредит выдаётся на срок до 1 года, инвестиционный – от 2 до 15 лет.</w:t>
      </w:r>
    </w:p>
    <w:p w14:paraId="041F6158" w14:textId="77777777" w:rsidR="006339C9" w:rsidRPr="00F10141" w:rsidRDefault="00E1628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42E6210B" w14:textId="5221F7E4" w:rsidR="006339C9" w:rsidRPr="00F10141" w:rsidRDefault="006339C9"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3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280</w:t>
      </w:r>
    </w:p>
    <w:p w14:paraId="2151BB80" w14:textId="77777777" w:rsidR="00393BEE" w:rsidRDefault="00393BEE" w:rsidP="00766679">
      <w:pPr>
        <w:shd w:val="clear" w:color="auto" w:fill="FFFFFF" w:themeFill="background1"/>
        <w:spacing w:line="240" w:lineRule="auto"/>
        <w:jc w:val="both"/>
        <w:rPr>
          <w:rFonts w:ascii="Times New Roman" w:hAnsi="Times New Roman" w:cs="Times New Roman"/>
          <w:b/>
          <w:sz w:val="24"/>
          <w:szCs w:val="24"/>
        </w:rPr>
      </w:pPr>
    </w:p>
    <w:p w14:paraId="5B4432B3" w14:textId="77777777" w:rsidR="00EE47C0" w:rsidRDefault="00EE47C0" w:rsidP="00766679">
      <w:pPr>
        <w:shd w:val="clear" w:color="auto" w:fill="FFFFFF" w:themeFill="background1"/>
        <w:spacing w:line="240" w:lineRule="auto"/>
        <w:jc w:val="both"/>
        <w:rPr>
          <w:rFonts w:ascii="Times New Roman" w:hAnsi="Times New Roman" w:cs="Times New Roman"/>
          <w:b/>
          <w:sz w:val="24"/>
          <w:szCs w:val="24"/>
        </w:rPr>
      </w:pPr>
    </w:p>
    <w:p w14:paraId="3AD8AB40" w14:textId="77777777" w:rsidR="00082404" w:rsidRPr="00F10141" w:rsidRDefault="00082404"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Льготные кредиты аграриям</w:t>
      </w:r>
    </w:p>
    <w:p w14:paraId="252E9303"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06CAAEFD"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На поддержку программы льготного кредитования сельхозпроизводителей дополнительно направлено 25 млрд рублей. Это поможет просубсидировать новые краткосрочные займы на общую сумму не менее 158 млрд рублей.</w:t>
      </w:r>
    </w:p>
    <w:p w14:paraId="28A7CBAC"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Средства будут направлены из резервного фонда Правительства и пойдут на субсидирование кредитных организаций, которые предоставляют предприятиям агропромышленного комплекса льготные займы. Необходимость дополнительного финансирования связана с повышением ключевой ставки ЦБ с 9,5 до 20%.</w:t>
      </w:r>
    </w:p>
    <w:p w14:paraId="483D3BF5" w14:textId="77777777" w:rsidR="00082404" w:rsidRPr="00F10141" w:rsidRDefault="00082404"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Льготная кредитная программа для аграриев была запущена в 2017 году. В её рамках сельхозпроизводители могут взять краткосрочный или инвестиционный кредит по ставке до 5% на развитие растениеводства и животноводства, а также на строительство, реконструкцию или модернизацию предп</w:t>
      </w:r>
      <w:r w:rsidR="00E16287" w:rsidRPr="00F10141">
        <w:rPr>
          <w:rFonts w:ascii="Times New Roman" w:hAnsi="Times New Roman" w:cs="Times New Roman"/>
          <w:sz w:val="24"/>
          <w:szCs w:val="24"/>
        </w:rPr>
        <w:t xml:space="preserve">риятий по переработке сельхозяйственного </w:t>
      </w:r>
      <w:r w:rsidRPr="00F10141">
        <w:rPr>
          <w:rFonts w:ascii="Times New Roman" w:hAnsi="Times New Roman" w:cs="Times New Roman"/>
          <w:sz w:val="24"/>
          <w:szCs w:val="24"/>
        </w:rPr>
        <w:t>сырья. Льготный краткосрочный кредит выдаётся на срок до 1 года, инвестиционный – от 2 до 15 лет.</w:t>
      </w:r>
    </w:p>
    <w:p w14:paraId="703201DD" w14:textId="77777777" w:rsidR="00082404" w:rsidRPr="00F10141" w:rsidRDefault="006339C9"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497E6FA6" w14:textId="4B97C5AC" w:rsidR="006339C9" w:rsidRPr="00F10141" w:rsidRDefault="006339C9" w:rsidP="002B154D">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Распоряжение от 9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435-р</w:t>
      </w:r>
    </w:p>
    <w:p w14:paraId="6F832A0E" w14:textId="77777777" w:rsidR="003F6A48" w:rsidRDefault="003F6A48" w:rsidP="00853F91">
      <w:pPr>
        <w:shd w:val="clear" w:color="auto" w:fill="FFFFFF" w:themeFill="background1"/>
        <w:spacing w:line="240" w:lineRule="auto"/>
        <w:jc w:val="both"/>
        <w:rPr>
          <w:rFonts w:ascii="Times New Roman" w:hAnsi="Times New Roman" w:cs="Times New Roman"/>
          <w:b/>
          <w:sz w:val="24"/>
          <w:szCs w:val="24"/>
        </w:rPr>
      </w:pPr>
    </w:p>
    <w:p w14:paraId="6F1F5029" w14:textId="77777777" w:rsidR="009B2435" w:rsidRPr="00F10141" w:rsidRDefault="009B2435" w:rsidP="00766679">
      <w:pPr>
        <w:pStyle w:val="a5"/>
        <w:numPr>
          <w:ilvl w:val="0"/>
          <w:numId w:val="2"/>
        </w:numPr>
        <w:shd w:val="clear" w:color="auto" w:fill="FFF2CC" w:themeFill="accent4"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Отмена штрафов по госконтрактам</w:t>
      </w:r>
    </w:p>
    <w:p w14:paraId="1F5336E6"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566DCEB9"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 xml:space="preserve">Правительство делает бессрочным порядок списания штрафов и пеней с подрядчиков, нарушивших обязательства по государственному или муниципальному контракту из-за внешних санкций. </w:t>
      </w:r>
    </w:p>
    <w:p w14:paraId="4DA07FC0" w14:textId="77777777" w:rsidR="009B2435"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Срок по</w:t>
      </w:r>
      <w:r w:rsidR="000D2277" w:rsidRPr="00F10141">
        <w:rPr>
          <w:rFonts w:ascii="Times New Roman" w:hAnsi="Times New Roman" w:cs="Times New Roman"/>
          <w:b/>
          <w:sz w:val="24"/>
          <w:szCs w:val="24"/>
        </w:rPr>
        <w:t>р</w:t>
      </w:r>
      <w:r w:rsidRPr="00F10141">
        <w:rPr>
          <w:rFonts w:ascii="Times New Roman" w:hAnsi="Times New Roman" w:cs="Times New Roman"/>
          <w:b/>
          <w:sz w:val="24"/>
          <w:szCs w:val="24"/>
        </w:rPr>
        <w:t>учения</w:t>
      </w:r>
    </w:p>
    <w:p w14:paraId="2151BBD9" w14:textId="77777777" w:rsidR="00BE07D4" w:rsidRPr="00F10141" w:rsidRDefault="009B2435"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Бессрочно</w:t>
      </w:r>
    </w:p>
    <w:p w14:paraId="57A0382A" w14:textId="77777777" w:rsidR="000E42F1" w:rsidRPr="00F10141" w:rsidRDefault="008523D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38979646" w14:textId="77777777" w:rsidR="008523D7" w:rsidRPr="00F10141" w:rsidRDefault="008523D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Для списания пеней и штрафов подрядчику достаточно будет представить госзаказчику письменное обоснование, подтверждающее нарушение обязательств из-за внешних санкций, с приложением документов, если они имеются.</w:t>
      </w:r>
    </w:p>
    <w:p w14:paraId="2A6CCE4D" w14:textId="77777777" w:rsidR="006339C9" w:rsidRPr="00F10141" w:rsidRDefault="00BE07D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b/>
          <w:sz w:val="24"/>
          <w:szCs w:val="24"/>
        </w:rPr>
      </w:pPr>
      <w:r w:rsidRPr="00F10141">
        <w:rPr>
          <w:rFonts w:ascii="Times New Roman" w:hAnsi="Times New Roman" w:cs="Times New Roman"/>
          <w:b/>
          <w:sz w:val="24"/>
          <w:szCs w:val="24"/>
        </w:rPr>
        <w:t>Документы</w:t>
      </w:r>
    </w:p>
    <w:p w14:paraId="2B3335C4" w14:textId="188729C2" w:rsidR="00BE07D4" w:rsidRPr="00F10141" w:rsidRDefault="00BE07D4"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2CC" w:themeFill="accent4" w:themeFillTint="33"/>
        <w:tabs>
          <w:tab w:val="left" w:pos="1265"/>
        </w:tabs>
        <w:spacing w:line="240" w:lineRule="auto"/>
        <w:rPr>
          <w:rFonts w:ascii="Times New Roman" w:hAnsi="Times New Roman" w:cs="Times New Roman"/>
          <w:sz w:val="24"/>
          <w:szCs w:val="24"/>
        </w:rPr>
      </w:pPr>
      <w:r w:rsidRPr="00F10141">
        <w:rPr>
          <w:rFonts w:ascii="Times New Roman" w:hAnsi="Times New Roman" w:cs="Times New Roman"/>
          <w:sz w:val="24"/>
          <w:szCs w:val="24"/>
        </w:rPr>
        <w:t>Постановление от 10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340</w:t>
      </w:r>
    </w:p>
    <w:p w14:paraId="1207F83A" w14:textId="77777777" w:rsidR="003F6A48" w:rsidRPr="00F10141" w:rsidRDefault="003F6A48" w:rsidP="00766679">
      <w:pPr>
        <w:shd w:val="clear" w:color="auto" w:fill="FFFFFF" w:themeFill="background1"/>
        <w:spacing w:line="240" w:lineRule="auto"/>
        <w:jc w:val="both"/>
        <w:rPr>
          <w:rFonts w:ascii="Times New Roman" w:hAnsi="Times New Roman" w:cs="Times New Roman"/>
          <w:b/>
          <w:sz w:val="24"/>
          <w:szCs w:val="24"/>
        </w:rPr>
      </w:pPr>
    </w:p>
    <w:p w14:paraId="0B4C9CBC" w14:textId="3468DD44" w:rsidR="00971FE3" w:rsidRDefault="00DE6585" w:rsidP="00010CAD">
      <w:pPr>
        <w:pStyle w:val="1"/>
        <w:rPr>
          <w:rFonts w:ascii="Times New Roman" w:hAnsi="Times New Roman" w:cs="Times New Roman"/>
          <w:b/>
          <w:sz w:val="24"/>
          <w:szCs w:val="24"/>
        </w:rPr>
      </w:pPr>
      <w:bookmarkStart w:id="9" w:name="_Toc178606974"/>
      <w:r w:rsidRPr="00F10141">
        <w:rPr>
          <w:rFonts w:ascii="Times New Roman" w:hAnsi="Times New Roman" w:cs="Times New Roman"/>
          <w:b/>
          <w:sz w:val="24"/>
          <w:szCs w:val="24"/>
        </w:rPr>
        <w:t>РЕГУЛИРОВАНИЕ</w:t>
      </w:r>
      <w:bookmarkEnd w:id="9"/>
    </w:p>
    <w:p w14:paraId="749C03FF" w14:textId="77777777" w:rsidR="00956B45" w:rsidRPr="0095112E" w:rsidRDefault="00956B45" w:rsidP="0095112E">
      <w:pPr>
        <w:shd w:val="clear" w:color="auto" w:fill="FFFFFF" w:themeFill="background1"/>
        <w:spacing w:line="240" w:lineRule="auto"/>
        <w:jc w:val="both"/>
        <w:rPr>
          <w:rFonts w:ascii="Times New Roman" w:hAnsi="Times New Roman" w:cs="Times New Roman"/>
          <w:b/>
          <w:sz w:val="24"/>
          <w:szCs w:val="24"/>
        </w:rPr>
      </w:pPr>
    </w:p>
    <w:p w14:paraId="51858AB7" w14:textId="77777777" w:rsidR="004449ED" w:rsidRPr="007365B1" w:rsidRDefault="004449ED" w:rsidP="004449ED">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Квоты на ввоз семян из недружественных стран</w:t>
      </w:r>
    </w:p>
    <w:p w14:paraId="0B277A88"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Описание меры</w:t>
      </w:r>
    </w:p>
    <w:p w14:paraId="0494640A"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 xml:space="preserve">Россия до конца 2024 года вводит временные ограничения на ввоз отдельных видов семян из недружественных стран. Ограничения коснутся семян картофеля, пшеницы, ржи, ячменя, кукурузы, соевых бобов, подсолнечника и сахарной свёклы. </w:t>
      </w:r>
    </w:p>
    <w:p w14:paraId="4BCE82B0"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 xml:space="preserve">Семена из недружественных стран можно будет ввозить в рамках квот, установленных Правительством. Их общий объём составит 33,1 тыс. т. Он рассчитан Минсельхозом, исходя из потребностей российских семеноводов с учётом баланса отечественного производства, импорта и экспорта семян. </w:t>
      </w:r>
    </w:p>
    <w:p w14:paraId="4C787679"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Срок получения</w:t>
      </w:r>
    </w:p>
    <w:p w14:paraId="4465E64F"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2024 год</w:t>
      </w:r>
    </w:p>
    <w:p w14:paraId="14414330"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4449ED">
        <w:rPr>
          <w:rFonts w:ascii="Times New Roman" w:hAnsi="Times New Roman" w:cs="Times New Roman"/>
          <w:b/>
          <w:sz w:val="24"/>
          <w:szCs w:val="24"/>
        </w:rPr>
        <w:t>Документы, вводящие меру</w:t>
      </w:r>
    </w:p>
    <w:p w14:paraId="26BB3DCA" w14:textId="77777777" w:rsidR="004449ED" w:rsidRPr="004449ED" w:rsidRDefault="004449ED" w:rsidP="004449E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4449ED">
        <w:rPr>
          <w:rFonts w:ascii="Times New Roman" w:hAnsi="Times New Roman" w:cs="Times New Roman"/>
          <w:sz w:val="24"/>
          <w:szCs w:val="24"/>
        </w:rPr>
        <w:t>Постановление от 27 января 2024 года №72</w:t>
      </w:r>
    </w:p>
    <w:p w14:paraId="27B1DC2D" w14:textId="77777777" w:rsidR="00393BEE" w:rsidRDefault="00393BEE" w:rsidP="004449ED">
      <w:pPr>
        <w:shd w:val="clear" w:color="auto" w:fill="FFFFFF" w:themeFill="background1"/>
        <w:spacing w:line="240" w:lineRule="auto"/>
        <w:jc w:val="both"/>
        <w:rPr>
          <w:rFonts w:ascii="Times New Roman" w:hAnsi="Times New Roman" w:cs="Times New Roman"/>
          <w:b/>
          <w:sz w:val="24"/>
          <w:szCs w:val="24"/>
        </w:rPr>
      </w:pPr>
    </w:p>
    <w:p w14:paraId="1588666F" w14:textId="77777777" w:rsidR="008E05BD" w:rsidRDefault="008E05BD" w:rsidP="004449ED">
      <w:pPr>
        <w:shd w:val="clear" w:color="auto" w:fill="FFFFFF" w:themeFill="background1"/>
        <w:spacing w:line="240" w:lineRule="auto"/>
        <w:jc w:val="both"/>
        <w:rPr>
          <w:rFonts w:ascii="Times New Roman" w:hAnsi="Times New Roman" w:cs="Times New Roman"/>
          <w:b/>
          <w:sz w:val="24"/>
          <w:szCs w:val="24"/>
        </w:rPr>
      </w:pPr>
    </w:p>
    <w:p w14:paraId="1387F3FE" w14:textId="77777777" w:rsidR="00592B16" w:rsidRDefault="00592B16" w:rsidP="004449ED">
      <w:pPr>
        <w:shd w:val="clear" w:color="auto" w:fill="FFFFFF" w:themeFill="background1"/>
        <w:spacing w:line="240" w:lineRule="auto"/>
        <w:jc w:val="both"/>
        <w:rPr>
          <w:rFonts w:ascii="Times New Roman" w:hAnsi="Times New Roman" w:cs="Times New Roman"/>
          <w:b/>
          <w:sz w:val="24"/>
          <w:szCs w:val="24"/>
        </w:rPr>
      </w:pPr>
    </w:p>
    <w:p w14:paraId="2C3E2FC3" w14:textId="77777777" w:rsidR="00D9094C" w:rsidRPr="007365B1" w:rsidRDefault="00D9094C" w:rsidP="00D9094C">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7365B1">
        <w:rPr>
          <w:rFonts w:ascii="Times New Roman" w:hAnsi="Times New Roman" w:cs="Times New Roman"/>
          <w:b/>
          <w:sz w:val="24"/>
          <w:szCs w:val="24"/>
        </w:rPr>
        <w:t>Упрощение ввоза в Россию электронных устройств и оборудования</w:t>
      </w:r>
    </w:p>
    <w:p w14:paraId="68BB2501" w14:textId="77777777" w:rsid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Описание меры</w:t>
      </w:r>
    </w:p>
    <w:p w14:paraId="6E87770B"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Упрощение касается оформления нотификации. Это документ, который требуется для всех электронных устройств, поддерживающих криптографические возможности или шифрование: смартфоны, планшеты, ноутбуки, компьютеры, микросхемы, рации. Раньше для получения нотификации изготовитель мог обратиться только в Центр по лицензированию, сертификации и защите государственной тайны ФСБ России.</w:t>
      </w:r>
    </w:p>
    <w:p w14:paraId="5DEEDF79"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Новые правила допускают оформление нотификации отраслевыми ассоциациями, в том числе Ассоциацией разработчиков и производителей электроники, Ассоциацией предприятий компьютерных и информационных технологий.</w:t>
      </w:r>
    </w:p>
    <w:p w14:paraId="3000162D"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Кроме того, исключено требование о предоставлении таможенным органам сведений о нотификации в отношении ввозимой техники, если такие устройства являются комплектующими для промышленного производства оборудования в России.</w:t>
      </w:r>
    </w:p>
    <w:p w14:paraId="0E5F816F"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Срок получения</w:t>
      </w:r>
    </w:p>
    <w:p w14:paraId="00F544F0"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До конца 2024 года</w:t>
      </w:r>
    </w:p>
    <w:p w14:paraId="03C23E24"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9094C">
        <w:rPr>
          <w:rFonts w:ascii="Times New Roman" w:hAnsi="Times New Roman" w:cs="Times New Roman"/>
          <w:b/>
          <w:sz w:val="24"/>
          <w:szCs w:val="24"/>
        </w:rPr>
        <w:t>Документы, вводящие меру</w:t>
      </w:r>
    </w:p>
    <w:p w14:paraId="4DD6A692" w14:textId="77777777"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29 декабря 2022 года №2515</w:t>
      </w:r>
    </w:p>
    <w:p w14:paraId="15CB1277" w14:textId="77777777" w:rsid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9 мая 2022 года №834</w:t>
      </w:r>
    </w:p>
    <w:p w14:paraId="0FC622AC" w14:textId="1FF1AEC9" w:rsidR="00D9094C" w:rsidRPr="00D9094C" w:rsidRDefault="00D9094C" w:rsidP="00D9094C">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9094C">
        <w:rPr>
          <w:rFonts w:ascii="Times New Roman" w:hAnsi="Times New Roman" w:cs="Times New Roman"/>
          <w:sz w:val="24"/>
          <w:szCs w:val="24"/>
        </w:rPr>
        <w:t>Постановление от 29 декабря 2023 года №2388</w:t>
      </w:r>
    </w:p>
    <w:p w14:paraId="48FE7AB0" w14:textId="77777777" w:rsidR="00D9094C" w:rsidRPr="00D9094C" w:rsidRDefault="00D9094C" w:rsidP="00D9094C">
      <w:pPr>
        <w:shd w:val="clear" w:color="auto" w:fill="FFFFFF" w:themeFill="background1"/>
        <w:spacing w:line="240" w:lineRule="auto"/>
        <w:jc w:val="both"/>
        <w:rPr>
          <w:rFonts w:ascii="Times New Roman" w:hAnsi="Times New Roman" w:cs="Times New Roman"/>
          <w:b/>
          <w:sz w:val="24"/>
          <w:szCs w:val="24"/>
        </w:rPr>
      </w:pPr>
    </w:p>
    <w:p w14:paraId="724D1569" w14:textId="008B8205" w:rsidR="00956B45" w:rsidRPr="008E05BD" w:rsidRDefault="00956B45" w:rsidP="00956B45">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8E05BD">
        <w:rPr>
          <w:rFonts w:ascii="Times New Roman" w:hAnsi="Times New Roman" w:cs="Times New Roman"/>
          <w:b/>
          <w:sz w:val="24"/>
          <w:szCs w:val="24"/>
        </w:rPr>
        <w:t>Запрет на вывоз риса и рисовой крупы</w:t>
      </w:r>
    </w:p>
    <w:p w14:paraId="0431C8F8" w14:textId="77777777" w:rsidR="000C384D" w:rsidRPr="009F1839"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9F1839">
        <w:rPr>
          <w:rFonts w:ascii="Times New Roman" w:hAnsi="Times New Roman" w:cs="Times New Roman"/>
          <w:b/>
          <w:sz w:val="24"/>
          <w:szCs w:val="24"/>
        </w:rPr>
        <w:t>Описание меры</w:t>
      </w:r>
    </w:p>
    <w:p w14:paraId="04F78593" w14:textId="77777777" w:rsidR="000C384D" w:rsidRPr="009F1839"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9F1839">
        <w:rPr>
          <w:rFonts w:ascii="Times New Roman" w:hAnsi="Times New Roman" w:cs="Times New Roman"/>
          <w:sz w:val="24"/>
          <w:szCs w:val="24"/>
        </w:rPr>
        <w:t>В России продлено временное ограничение на вывоз риса и рисовой крупы. Решение принято для поддержания стабильности на внутреннем рынке.</w:t>
      </w:r>
    </w:p>
    <w:p w14:paraId="7BB73681"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Для запрета на вывоз риса и рисовой крупы предусмотрен ряд исключений. В частности, он не будет распространяться на поставки этой продукции в государства – члены Евразийского экономического союза, а также Абхазию и Южную Осетию.</w:t>
      </w:r>
    </w:p>
    <w:p w14:paraId="706618E4"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Кроме того, рис и рисовую крупу можно будет отправлять за рубеж для оказания гуманитарной помощи, а также в рамках международных транзитных перевозок.</w:t>
      </w:r>
    </w:p>
    <w:p w14:paraId="015FB3A8"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84D">
        <w:rPr>
          <w:rFonts w:ascii="Times New Roman" w:hAnsi="Times New Roman" w:cs="Times New Roman"/>
          <w:b/>
          <w:sz w:val="24"/>
          <w:szCs w:val="24"/>
        </w:rPr>
        <w:t>Срок получения</w:t>
      </w:r>
    </w:p>
    <w:p w14:paraId="4F7BF020"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До 31 декабря 2024 года.</w:t>
      </w:r>
    </w:p>
    <w:p w14:paraId="159C24AC" w14:textId="77777777" w:rsidR="000C384D" w:rsidRPr="00245830"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245830">
        <w:rPr>
          <w:rFonts w:ascii="Times New Roman" w:hAnsi="Times New Roman" w:cs="Times New Roman"/>
          <w:b/>
          <w:sz w:val="24"/>
          <w:szCs w:val="24"/>
        </w:rPr>
        <w:t>Документы, вводящие меру</w:t>
      </w:r>
    </w:p>
    <w:p w14:paraId="4BFCBD9F"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Постановление от 6 июля 2024 года №920</w:t>
      </w:r>
    </w:p>
    <w:p w14:paraId="2BB3F3EA"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Постановления от 29 декабря 2023 года №2378</w:t>
      </w:r>
    </w:p>
    <w:p w14:paraId="0D44C310" w14:textId="77777777" w:rsidR="000C384D" w:rsidRPr="000C384D" w:rsidRDefault="000C384D" w:rsidP="000C384D">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84D">
        <w:rPr>
          <w:rFonts w:ascii="Times New Roman" w:hAnsi="Times New Roman" w:cs="Times New Roman"/>
          <w:sz w:val="24"/>
          <w:szCs w:val="24"/>
        </w:rPr>
        <w:t>Постановление от 28 июля 2023 года №1222</w:t>
      </w:r>
    </w:p>
    <w:p w14:paraId="35274CB5" w14:textId="77777777" w:rsidR="0046040E" w:rsidRPr="008E05BD" w:rsidRDefault="0046040E" w:rsidP="0046040E">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8E05BD">
        <w:rPr>
          <w:rFonts w:ascii="Times New Roman" w:hAnsi="Times New Roman" w:cs="Times New Roman"/>
          <w:b/>
          <w:sz w:val="24"/>
          <w:szCs w:val="24"/>
        </w:rPr>
        <w:t>Квота на вывоз минеральных удобрений</w:t>
      </w:r>
    </w:p>
    <w:p w14:paraId="3FB689D4"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C6A">
        <w:rPr>
          <w:rFonts w:ascii="Times New Roman" w:hAnsi="Times New Roman" w:cs="Times New Roman"/>
          <w:b/>
          <w:sz w:val="24"/>
          <w:szCs w:val="24"/>
        </w:rPr>
        <w:t>Описание меры</w:t>
      </w:r>
    </w:p>
    <w:p w14:paraId="58D26E32"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Квоты на вывоз из России минеральных удобрений продлены по 30 ноября 2024 года.</w:t>
      </w:r>
    </w:p>
    <w:p w14:paraId="2017B7BD"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Общий объём экспортной квоты составит свыше 19,7 млн т, в том числе для азотных удобрений – более 12,4 млн т, для сложных – около 7,3 млн т.</w:t>
      </w:r>
    </w:p>
    <w:p w14:paraId="4DD90A69"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Квоты не распространяются на поставку удобрений в Абхазию и Южную Осетию.</w:t>
      </w:r>
    </w:p>
    <w:p w14:paraId="07774DF3"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C6A">
        <w:rPr>
          <w:rFonts w:ascii="Times New Roman" w:hAnsi="Times New Roman" w:cs="Times New Roman"/>
          <w:b/>
          <w:sz w:val="24"/>
          <w:szCs w:val="24"/>
        </w:rPr>
        <w:t>Срок получения</w:t>
      </w:r>
    </w:p>
    <w:p w14:paraId="06F62AC3"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 30 ноября 2024 года.</w:t>
      </w:r>
    </w:p>
    <w:p w14:paraId="786D1B81"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C6A">
        <w:rPr>
          <w:rFonts w:ascii="Times New Roman" w:hAnsi="Times New Roman" w:cs="Times New Roman"/>
          <w:b/>
          <w:sz w:val="24"/>
          <w:szCs w:val="24"/>
        </w:rPr>
        <w:t>Условия получения</w:t>
      </w:r>
    </w:p>
    <w:p w14:paraId="02BA89DB" w14:textId="620BFF59"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Распределять объёмы между экспортёрами будет Минпромторг.</w:t>
      </w:r>
    </w:p>
    <w:p w14:paraId="29974F3C"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0C3C6A">
        <w:rPr>
          <w:rFonts w:ascii="Times New Roman" w:hAnsi="Times New Roman" w:cs="Times New Roman"/>
          <w:b/>
          <w:sz w:val="24"/>
          <w:szCs w:val="24"/>
        </w:rPr>
        <w:t>Документы, вводящие меру</w:t>
      </w:r>
    </w:p>
    <w:p w14:paraId="7A8F29E1"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Постановление от 27 апреля 2024 года №547</w:t>
      </w:r>
    </w:p>
    <w:p w14:paraId="6D3BF881"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Постановление от 23 ноября 2023 №1961</w:t>
      </w:r>
    </w:p>
    <w:p w14:paraId="531028B7"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Постановления от 27 мая 2023 года №821 и №822</w:t>
      </w:r>
    </w:p>
    <w:p w14:paraId="70BA8CEF"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Постановление от 26 января 2023 года №91</w:t>
      </w:r>
    </w:p>
    <w:p w14:paraId="66344A4C" w14:textId="7777777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Постановление 12 декабря 2022 №2283</w:t>
      </w:r>
    </w:p>
    <w:p w14:paraId="7FD38ACE" w14:textId="19208397" w:rsidR="0046040E" w:rsidRPr="000C3C6A" w:rsidRDefault="0046040E" w:rsidP="000C3C6A">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0C3C6A">
        <w:rPr>
          <w:rFonts w:ascii="Times New Roman" w:hAnsi="Times New Roman" w:cs="Times New Roman"/>
          <w:sz w:val="24"/>
          <w:szCs w:val="24"/>
        </w:rPr>
        <w:t>Постановление от 06 августа 2022 №1392</w:t>
      </w:r>
    </w:p>
    <w:p w14:paraId="7181078E" w14:textId="77777777" w:rsidR="0046040E" w:rsidRDefault="0046040E" w:rsidP="0046040E">
      <w:pPr>
        <w:shd w:val="clear" w:color="auto" w:fill="FFFFFF" w:themeFill="background1"/>
        <w:spacing w:line="240" w:lineRule="auto"/>
        <w:jc w:val="both"/>
        <w:rPr>
          <w:rFonts w:ascii="Times New Roman" w:hAnsi="Times New Roman" w:cs="Times New Roman"/>
          <w:b/>
          <w:sz w:val="24"/>
          <w:szCs w:val="24"/>
        </w:rPr>
      </w:pPr>
    </w:p>
    <w:p w14:paraId="4C1C6A72" w14:textId="77777777" w:rsidR="00C63536" w:rsidRPr="00F10141" w:rsidRDefault="00C63536" w:rsidP="00C63536">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Регистрация прав на самолёты для иностранных «дочек» российских компаний</w:t>
      </w:r>
    </w:p>
    <w:p w14:paraId="792C8781"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C576157"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Российские авиакомпании смогут продолжить эксплуатировать самолёты, взятые в лизинг или аренду у зарубежных «дочек» российских юридических лиц.</w:t>
      </w:r>
    </w:p>
    <w:p w14:paraId="0CB78F5E"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Теперь зарубежные «дочки» российских организаций могут зарегистрировать права собственности на принадлежащие им самолёты в Едином государственном реестре прав на воздушные гражданские суда и сделок с ними. Основанием для регистрации послужат копии учредительных и правоустанавливающих документов. Страхование, перестрахование и техобслуживание бортов будет проходить на территории России.</w:t>
      </w:r>
    </w:p>
    <w:p w14:paraId="1EA4A098"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Это решение позволит избежать проблем с эксплуатацией самолётов и сохранить парк воздушных судов для пассажирских авиаперевозок.</w:t>
      </w:r>
    </w:p>
    <w:p w14:paraId="6B194C03" w14:textId="77777777"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23E16F4" w14:textId="6151181B" w:rsidR="00C63536" w:rsidRPr="00F10141" w:rsidRDefault="00C63536" w:rsidP="00C63536">
      <w:pPr>
        <w:pBdr>
          <w:top w:val="single" w:sz="4" w:space="0"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7 декабря 2022 года №2238</w:t>
      </w:r>
    </w:p>
    <w:p w14:paraId="5D31AE44" w14:textId="77777777" w:rsidR="00393BEE" w:rsidRDefault="00393BEE" w:rsidP="004C31A3">
      <w:pPr>
        <w:shd w:val="clear" w:color="auto" w:fill="FFFFFF" w:themeFill="background1"/>
        <w:spacing w:line="240" w:lineRule="auto"/>
        <w:jc w:val="both"/>
        <w:rPr>
          <w:rFonts w:ascii="Times New Roman" w:hAnsi="Times New Roman" w:cs="Times New Roman"/>
          <w:b/>
          <w:sz w:val="24"/>
          <w:szCs w:val="24"/>
        </w:rPr>
      </w:pPr>
    </w:p>
    <w:p w14:paraId="5BA368A5" w14:textId="77777777" w:rsidR="00592B16" w:rsidRPr="00F10141" w:rsidRDefault="00592B16" w:rsidP="004C31A3">
      <w:pPr>
        <w:shd w:val="clear" w:color="auto" w:fill="FFFFFF" w:themeFill="background1"/>
        <w:spacing w:line="240" w:lineRule="auto"/>
        <w:jc w:val="both"/>
        <w:rPr>
          <w:rFonts w:ascii="Times New Roman" w:hAnsi="Times New Roman" w:cs="Times New Roman"/>
          <w:b/>
          <w:sz w:val="24"/>
          <w:szCs w:val="24"/>
        </w:rPr>
      </w:pPr>
    </w:p>
    <w:p w14:paraId="3A478F1F" w14:textId="77777777" w:rsidR="00B04C5D" w:rsidRPr="00F10141" w:rsidRDefault="00B04C5D" w:rsidP="00B04C5D">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Расширены возможности корректировки условий концессий</w:t>
      </w:r>
    </w:p>
    <w:p w14:paraId="664A69EE"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FCECF37"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приняло постановление, разрешающее менять основные параметры концессионных соглашений по строительству автодорог, мостов, железных дорог, школ и других объектов из-за санкционных ограничений. Изменения в соглашения возможны при наличии одобрения Федеральной антимонопольной службы (ФАС).</w:t>
      </w:r>
    </w:p>
    <w:p w14:paraId="4BF03F35"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 xml:space="preserve">Это поможет снизить риски срыва реализации концессионных соглашений по строительству объектов и поддержать концессионеров, реализующих проекты регионального и муниципального уровня. </w:t>
      </w:r>
    </w:p>
    <w:p w14:paraId="5AB5A001"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Условия получения</w:t>
      </w:r>
    </w:p>
    <w:p w14:paraId="04C838B5"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ФАС должна одобрить изменения в соглашения.</w:t>
      </w:r>
    </w:p>
    <w:p w14:paraId="10343247" w14:textId="77777777"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3D797BF3" w14:textId="3586EF56" w:rsidR="00B04C5D" w:rsidRPr="00F10141" w:rsidRDefault="00B04C5D" w:rsidP="006425C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23 июня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1126</w:t>
      </w:r>
    </w:p>
    <w:p w14:paraId="7233DF57" w14:textId="77777777" w:rsidR="005A7084" w:rsidRPr="00F10141" w:rsidRDefault="005A7084" w:rsidP="005A7084">
      <w:pPr>
        <w:shd w:val="clear" w:color="auto" w:fill="FFFFFF" w:themeFill="background1"/>
        <w:spacing w:line="240" w:lineRule="auto"/>
        <w:jc w:val="both"/>
        <w:rPr>
          <w:rFonts w:ascii="Times New Roman" w:hAnsi="Times New Roman" w:cs="Times New Roman"/>
          <w:b/>
          <w:sz w:val="24"/>
          <w:szCs w:val="24"/>
        </w:rPr>
      </w:pPr>
    </w:p>
    <w:p w14:paraId="76D8679B" w14:textId="77777777" w:rsidR="003F5309" w:rsidRPr="00F10141" w:rsidRDefault="003F5309" w:rsidP="003F530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Закупки коммунальной техники по контрактам жизненного цикла</w:t>
      </w:r>
    </w:p>
    <w:p w14:paraId="670B8FB4"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4194E9E5"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Дорожно-коммунальная техника внесена в число закупок, на которые распространяются условия контрактов жизненного цикла. Контракт жизненного цикла – это соглашение на комплекс работ от проектирования объекта до его изготовления и последующего обслуживания, включая утилизацию.</w:t>
      </w:r>
    </w:p>
    <w:p w14:paraId="41EFA427" w14:textId="77777777"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Это позволит поддержать российских коммунальщиков, которые из-за санкций недружественных государств столкнулись с сокращением поставок импортных самоходных машин и отказом от их дальнейшего технического обслуживания.</w:t>
      </w:r>
    </w:p>
    <w:p w14:paraId="4FA69D87" w14:textId="79705243" w:rsidR="003F5309" w:rsidRPr="00F10141" w:rsidRDefault="003F5309" w:rsidP="003F530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9 мая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838</w:t>
      </w:r>
    </w:p>
    <w:p w14:paraId="5B489562" w14:textId="77777777" w:rsidR="005A7084" w:rsidRDefault="005A7084" w:rsidP="008E31D9">
      <w:pPr>
        <w:shd w:val="clear" w:color="auto" w:fill="FFFFFF" w:themeFill="background1"/>
        <w:spacing w:line="240" w:lineRule="auto"/>
        <w:jc w:val="both"/>
        <w:rPr>
          <w:rFonts w:ascii="Times New Roman" w:hAnsi="Times New Roman" w:cs="Times New Roman"/>
          <w:b/>
          <w:sz w:val="24"/>
          <w:szCs w:val="24"/>
        </w:rPr>
      </w:pPr>
    </w:p>
    <w:p w14:paraId="26F25D22" w14:textId="77777777" w:rsidR="00592B16" w:rsidRDefault="00592B16" w:rsidP="008E31D9">
      <w:pPr>
        <w:shd w:val="clear" w:color="auto" w:fill="FFFFFF" w:themeFill="background1"/>
        <w:spacing w:line="240" w:lineRule="auto"/>
        <w:jc w:val="both"/>
        <w:rPr>
          <w:rFonts w:ascii="Times New Roman" w:hAnsi="Times New Roman" w:cs="Times New Roman"/>
          <w:b/>
          <w:sz w:val="24"/>
          <w:szCs w:val="24"/>
        </w:rPr>
      </w:pPr>
    </w:p>
    <w:p w14:paraId="1BAA5A38" w14:textId="77777777" w:rsidR="00237AEE" w:rsidRPr="00F10141" w:rsidRDefault="00237AEE" w:rsidP="00237AEE">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Отсрочка внедрения поэкземплярного учета молочной продукции</w:t>
      </w:r>
    </w:p>
    <w:p w14:paraId="7153DEB9"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9944AE1"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Предприятия молочной отрасли получили дополнительное время на подготовку к внедрению технологии поэкземплярного учета продукции в рамках перехода на обязательную маркировку. Поэкземплярное отслеживание молочной продукции перенесено с 1 декабря 2023 года на 1 июня 2025 года.</w:t>
      </w:r>
    </w:p>
    <w:p w14:paraId="0909745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Технология поэкземплярного учета должна заменить объемно-артикульный учет, который помогает проследить путь партии продукции. Поэкземплярный учет позволяет контролировать путь каждой упаковки молочной продукции от конвейера до полки магазина. Отсрочка необходима участникам рынка, чтобы успеть завершить подготовку к переходу в условиях ограничений из-за санкций.</w:t>
      </w:r>
    </w:p>
    <w:p w14:paraId="4AC0852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56C0B2FC"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Перенос с 1 декабря 2023 года на 1 июня 2025 года</w:t>
      </w:r>
    </w:p>
    <w:p w14:paraId="399F3F85" w14:textId="77777777"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2D54A038" w14:textId="52B0BF11" w:rsidR="00237AEE" w:rsidRPr="00F10141" w:rsidRDefault="00237AEE" w:rsidP="00237AEE">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21 апреля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741</w:t>
      </w:r>
    </w:p>
    <w:p w14:paraId="13646C38" w14:textId="77777777" w:rsidR="00314A3B" w:rsidRDefault="00314A3B" w:rsidP="005B731C">
      <w:pPr>
        <w:shd w:val="clear" w:color="auto" w:fill="FFFFFF" w:themeFill="background1"/>
        <w:spacing w:line="240" w:lineRule="auto"/>
        <w:jc w:val="both"/>
        <w:rPr>
          <w:rFonts w:ascii="Times New Roman" w:hAnsi="Times New Roman" w:cs="Times New Roman"/>
          <w:b/>
          <w:sz w:val="24"/>
          <w:szCs w:val="24"/>
        </w:rPr>
      </w:pPr>
    </w:p>
    <w:p w14:paraId="0FC1C4E9" w14:textId="13D9A630" w:rsidR="00237AEE" w:rsidRPr="00F10141" w:rsidRDefault="00237AEE" w:rsidP="009F46A3">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Изменены правила заключения СПИК</w:t>
      </w:r>
    </w:p>
    <w:p w14:paraId="17ABE3B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384C428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Правительство расширило возможности инвесторов в рамках применения инструмента специальных инвестиционных контрактов формата 1.0 (СПИК 1.0).</w:t>
      </w:r>
    </w:p>
    <w:p w14:paraId="60A19E85"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Внесены изменения в правила заключения специальных инвестиционных контрактов. Они предусматривают возобновление механизма СПИК 1.0, а также возможность пересмотра условий действующих контрактов, включая продление их на 2 года с максимальным сроком 12 лет. Продлить сроки таких контрактов инвесторы смогут в том случае, если ограничительные меры со стороны зарубежных партнёров повлияли на реализацию инвестиционных проектов.</w:t>
      </w:r>
    </w:p>
    <w:p w14:paraId="334B2DDB"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Кроме того, смягчаются требования к проектам, по которым будут заключаться специальные инвестиционные контракты. В частности, исключаются обязательные требования по экспорту промышленной продукции и диверсификации поставок.</w:t>
      </w:r>
    </w:p>
    <w:p w14:paraId="662B06B8"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Механизм специального инвестиционного контракта позволяет привлечь крупные частные капиталовложения в проекты по созданию новых промышленных производств. Государство со своей стороны гарантирует такому инвестору выгодные, понятные и неизменные условия для вложений, в том числе налоговые льготы и особые условия аренды земли без проведения торгов.</w:t>
      </w:r>
    </w:p>
    <w:p w14:paraId="1BADAAB8" w14:textId="77777777"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07B2191" w14:textId="0EB792B1"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22 марта 2022 года №</w:t>
      </w:r>
      <w:r w:rsidR="00EF4223" w:rsidRPr="00F10141">
        <w:rPr>
          <w:rFonts w:ascii="Times New Roman" w:hAnsi="Times New Roman" w:cs="Times New Roman"/>
          <w:sz w:val="24"/>
          <w:szCs w:val="24"/>
        </w:rPr>
        <w:t> </w:t>
      </w:r>
      <w:r w:rsidRPr="00F10141">
        <w:rPr>
          <w:rFonts w:ascii="Times New Roman" w:hAnsi="Times New Roman" w:cs="Times New Roman"/>
          <w:sz w:val="24"/>
          <w:szCs w:val="24"/>
        </w:rPr>
        <w:t>437</w:t>
      </w:r>
    </w:p>
    <w:p w14:paraId="3EC3B7E1" w14:textId="56E5C66D" w:rsidR="00237AEE" w:rsidRPr="00F10141" w:rsidRDefault="00237AEE" w:rsidP="009F46A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Федер</w:t>
      </w:r>
      <w:r w:rsidR="00EF4223" w:rsidRPr="00F10141">
        <w:rPr>
          <w:rFonts w:ascii="Times New Roman" w:hAnsi="Times New Roman" w:cs="Times New Roman"/>
          <w:sz w:val="24"/>
          <w:szCs w:val="24"/>
        </w:rPr>
        <w:t>альный закон от 14.03.2022 г. № </w:t>
      </w:r>
      <w:r w:rsidRPr="00F10141">
        <w:rPr>
          <w:rFonts w:ascii="Times New Roman" w:hAnsi="Times New Roman" w:cs="Times New Roman"/>
          <w:sz w:val="24"/>
          <w:szCs w:val="24"/>
        </w:rPr>
        <w:t>57-ФЗ «О внесении изменений в статью 2 Федерального закона “О внесении изменений в Федеральный закон "О промышленной политике в Российской Федерации"” в части регулирования специальных инвестиционных контрактов»</w:t>
      </w:r>
    </w:p>
    <w:p w14:paraId="10E0F1E1" w14:textId="77777777" w:rsidR="000B7E87" w:rsidRPr="00AB5822" w:rsidRDefault="000B7E87" w:rsidP="00AB5822">
      <w:pPr>
        <w:shd w:val="clear" w:color="auto" w:fill="FFFFFF" w:themeFill="background1"/>
        <w:spacing w:line="240" w:lineRule="auto"/>
        <w:jc w:val="both"/>
        <w:rPr>
          <w:rFonts w:ascii="Times New Roman" w:hAnsi="Times New Roman" w:cs="Times New Roman"/>
          <w:b/>
          <w:sz w:val="24"/>
          <w:szCs w:val="24"/>
        </w:rPr>
      </w:pPr>
    </w:p>
    <w:p w14:paraId="250B0456" w14:textId="581109B5" w:rsidR="00237AEE" w:rsidRPr="00342744" w:rsidRDefault="00237AEE" w:rsidP="00FC6BFA">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Ограничение на вывоз товаров и оборудования</w:t>
      </w:r>
    </w:p>
    <w:p w14:paraId="231C2600"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Описание меры</w:t>
      </w:r>
    </w:p>
    <w:p w14:paraId="09EA9F60"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 xml:space="preserve">Временный запрет на вывоз из России некоторых товаров и оборудования продлён до конца 2025 года. </w:t>
      </w:r>
    </w:p>
    <w:p w14:paraId="08F0E365"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Экспортное ограничение распространяется в том числе на технологическое, медицинское оборудование, сельхозтехнику, электрическую аппаратуру, турбины, ядерные реакторы, кабели волоконно-оптические, отдельные виды летательных аппаратов, радиолокационные приборы, аккумуляторы, станки для обработки металла.</w:t>
      </w:r>
    </w:p>
    <w:p w14:paraId="1C50520A"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Их вывоз запрещён во все зарубежные страны, за исключением государств – членов Евразийского экономического союза.</w:t>
      </w:r>
    </w:p>
    <w:p w14:paraId="506813E3"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При этом документом предусмотрен ряд исключений: экспортные ограничения не будут распространяться на образцы медицинских изделий, ранее ввезённые в Россию для государственной регистрации.</w:t>
      </w:r>
    </w:p>
    <w:p w14:paraId="43CFC587"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Запрет также не будет действовать в отношении холодильного оборудования, отдельных видов насосов и ряда категорий судов.</w:t>
      </w:r>
    </w:p>
    <w:p w14:paraId="14D9B29F"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Кроме того, смягчены ограничения на вывоз отдельных видов товаров системообразующими и их дочерними организациями. Решение об экспорте товаров такими организациями будет принимать Правительство на основании предложений профильных министерств и ведомств.</w:t>
      </w:r>
    </w:p>
    <w:p w14:paraId="7EA64AC9"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До конца 2025 года продлевается возможность применения ограничений на ввоз семян отдельных видов сельскохозяйственных культур из недружественных стран. Речь идёт о семенах картофеля, пшеницы, ржи, ячменя, кукурузы, соевых бобов, рапса, подсолнечника и сахарной свёклы.</w:t>
      </w:r>
    </w:p>
    <w:p w14:paraId="4C8FF6BB"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Перечни товаров и оборудования, временно запрещённых к вывозу из России, были определены Правительством в марте 2022 года. Решение принято во исполнение Указа Президента «О применении в целях обеспечения безопасности Российской Федерации специальных экономических мер в сфере внешнеэкономической деятельности» и необходимо для защиты внутреннего рынка.</w:t>
      </w:r>
    </w:p>
    <w:p w14:paraId="49F94B8F"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Срок получения</w:t>
      </w:r>
    </w:p>
    <w:p w14:paraId="7BD48ECD"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Срок продлён до конца 2025 года.</w:t>
      </w:r>
    </w:p>
    <w:p w14:paraId="24775738"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D32BF3">
        <w:rPr>
          <w:rFonts w:ascii="Times New Roman" w:hAnsi="Times New Roman" w:cs="Times New Roman"/>
          <w:b/>
          <w:sz w:val="24"/>
          <w:szCs w:val="24"/>
        </w:rPr>
        <w:t>Документы, вводящие меру</w:t>
      </w:r>
    </w:p>
    <w:p w14:paraId="1159C5DB"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Постановление от 23 декабря 2023 года №2285</w:t>
      </w:r>
    </w:p>
    <w:p w14:paraId="3C08131D" w14:textId="77777777" w:rsidR="00D32BF3"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Постановление от 2 ноября 2022 года №1959</w:t>
      </w:r>
    </w:p>
    <w:p w14:paraId="60D54119" w14:textId="1CD20DFD" w:rsidR="00756F91" w:rsidRPr="00D32BF3" w:rsidRDefault="00D32BF3" w:rsidP="00D32BF3">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D32BF3">
        <w:rPr>
          <w:rFonts w:ascii="Times New Roman" w:hAnsi="Times New Roman" w:cs="Times New Roman"/>
          <w:sz w:val="24"/>
          <w:szCs w:val="24"/>
        </w:rPr>
        <w:t>Постановления от 9 марта 2022 года №311, №312, №313</w:t>
      </w:r>
    </w:p>
    <w:p w14:paraId="0713876A" w14:textId="77777777" w:rsidR="008E05BD" w:rsidRPr="00F10141" w:rsidRDefault="008E05BD" w:rsidP="00D32BF3">
      <w:pPr>
        <w:shd w:val="clear" w:color="auto" w:fill="FFFFFF" w:themeFill="background1"/>
        <w:spacing w:line="240" w:lineRule="auto"/>
        <w:jc w:val="both"/>
        <w:rPr>
          <w:rFonts w:ascii="Times New Roman" w:hAnsi="Times New Roman" w:cs="Times New Roman"/>
          <w:b/>
          <w:sz w:val="24"/>
          <w:szCs w:val="24"/>
        </w:rPr>
      </w:pPr>
    </w:p>
    <w:p w14:paraId="1525A22E" w14:textId="01376F51" w:rsidR="00BE6F67" w:rsidRPr="00F10141" w:rsidRDefault="00BE6F67"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Защита участников фондового рынка</w:t>
      </w:r>
    </w:p>
    <w:p w14:paraId="5FCB75EE" w14:textId="77777777" w:rsidR="00BE6F67" w:rsidRPr="00F10141" w:rsidRDefault="00BE6F67" w:rsidP="0076667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Описание меры</w:t>
      </w:r>
    </w:p>
    <w:p w14:paraId="12020EE2"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Организации-эмитенты получили право не раскрывать частично или в полном объёме информацию о выпуске ценных бумаг.</w:t>
      </w:r>
    </w:p>
    <w:p w14:paraId="7D9AF50A"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Перечень корпоративных сведений, которые участники фондового рынка могут не раскрывать в целях защиты от возможных ограничительных мер, определён постановлением Правительства. Утверждённые нормы учитывают необходимость дальнейшего развития рынка капитала и долгового финансирования, для которого требуется раскрытие информации, и важность защиты данных, чувствительных с точки зрения введения возможных внешних ограничений.</w:t>
      </w:r>
    </w:p>
    <w:p w14:paraId="4A8EC66D"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В обновлённый перечень включены сведения в том числе о составе органов управления и контроля за финансово-хозяйственной деятельностью эмитентов, информация об аффилированных лицах и дочерних организациях, финансовых вложениях, операциях в иностранной валюте, сделках, включая данные о том, что такие сделки не совершались. Кроме того, в списке информация о сегментах деятельности эмитента в части сведений об оказании им услуг, о производимой продукции, закупке товаров, выполнении некоторых работ, сведения о контрагентах, их отраслевой и географической структуре.</w:t>
      </w:r>
    </w:p>
    <w:p w14:paraId="3211C495" w14:textId="625F2A79"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Также постановлением Правительства определён перечень оснований, при наличии которых эмитенты будут вправе ограничивать раскрытие указанных данных. Это в том числе действующие в отношении компании или организации ограничительные меры, наличие статуса уполномоченного банка, ведение деятельности на территории новых регионов России.</w:t>
      </w:r>
    </w:p>
    <w:p w14:paraId="5A67EC17"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Срок получения</w:t>
      </w:r>
    </w:p>
    <w:p w14:paraId="5FD919E0"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Новый перечень касается информации об операциях начиная с 5 июля 2023 года.</w:t>
      </w:r>
    </w:p>
    <w:p w14:paraId="6761646D"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F10141">
        <w:rPr>
          <w:rFonts w:ascii="Times New Roman" w:hAnsi="Times New Roman" w:cs="Times New Roman"/>
          <w:b/>
          <w:sz w:val="24"/>
          <w:szCs w:val="24"/>
        </w:rPr>
        <w:t>Документы, вводящие меру</w:t>
      </w:r>
    </w:p>
    <w:p w14:paraId="7D8EF136" w14:textId="77777777"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4 июля 2023 года №1102</w:t>
      </w:r>
    </w:p>
    <w:p w14:paraId="7DB8B16E" w14:textId="41060164" w:rsidR="00127C49"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24 ноября 2022 года №2131</w:t>
      </w:r>
    </w:p>
    <w:p w14:paraId="4CC9EA37" w14:textId="7684CF1F" w:rsidR="005A7084" w:rsidRPr="00F10141" w:rsidRDefault="00127C49" w:rsidP="00127C49">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F10141">
        <w:rPr>
          <w:rFonts w:ascii="Times New Roman" w:hAnsi="Times New Roman" w:cs="Times New Roman"/>
          <w:sz w:val="24"/>
          <w:szCs w:val="24"/>
        </w:rPr>
        <w:t>Постановление от 12 марта 2022 года №351</w:t>
      </w:r>
    </w:p>
    <w:p w14:paraId="31EEA86F" w14:textId="77777777" w:rsidR="003716B2" w:rsidRDefault="003716B2" w:rsidP="003716B2">
      <w:pPr>
        <w:shd w:val="clear" w:color="auto" w:fill="FFFFFF" w:themeFill="background1"/>
        <w:tabs>
          <w:tab w:val="left" w:pos="1152"/>
        </w:tabs>
        <w:spacing w:line="240" w:lineRule="auto"/>
        <w:rPr>
          <w:rFonts w:ascii="Times New Roman" w:hAnsi="Times New Roman" w:cs="Times New Roman"/>
          <w:sz w:val="24"/>
          <w:szCs w:val="24"/>
        </w:rPr>
      </w:pPr>
    </w:p>
    <w:p w14:paraId="7585C1E7" w14:textId="479C6A19" w:rsidR="000D2277" w:rsidRPr="00342744" w:rsidRDefault="000D2277"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Продление лицензий</w:t>
      </w:r>
      <w:r w:rsidR="00B6459B" w:rsidRPr="00342744">
        <w:rPr>
          <w:rFonts w:ascii="Times New Roman" w:hAnsi="Times New Roman" w:cs="Times New Roman"/>
          <w:b/>
          <w:sz w:val="24"/>
          <w:szCs w:val="24"/>
        </w:rPr>
        <w:t xml:space="preserve"> и разрешений</w:t>
      </w:r>
    </w:p>
    <w:p w14:paraId="13441EF8"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Описание меры</w:t>
      </w:r>
    </w:p>
    <w:p w14:paraId="3764DAF3" w14:textId="5D68009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Срок действия лицензий и других видов разрешительных документов автоматически продлевается на 12 месяцев.</w:t>
      </w:r>
    </w:p>
    <w:p w14:paraId="3330615D"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Речь идёт об автоматическом продлении разрешений, истекающих в 2024 году, в важных сферах деятельности. В их числе – лицензии на телевизионное вещание и радиовещание и ряд других разрешений. При автоматическом продлении разрешений лицензиатам не требуется подавать каких-либо заявлений, уплачивать пошлины или сборы. Государственные органы сами вносят изменения в реестры и базы данных.</w:t>
      </w:r>
    </w:p>
    <w:p w14:paraId="6213F264"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Не нужно будет переоформлять разрешения и в случае смены места нахождения компании, проживания индивидуального предпринимателя или ведения самой деятельности. Если адрес изменён по решению властей – скорректируется название улицы, номер дома или почтовый индекс. То же самое коснётся случаев, когда предприятие поменяет название или при его реорганизации.</w:t>
      </w:r>
    </w:p>
    <w:p w14:paraId="3246DCB7"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Также весь следующий год продолжит действовать ускоренная регистрация лекарств для ветеринарного применения. Эта мера уже дала хороший результат, позволив сократить сроки всей процедуры почти в три раза – с 160 до 60 рабочих дней. За два года с момента её введения такой возможностью воспользовались уже свыше 130 раз.</w:t>
      </w:r>
    </w:p>
    <w:p w14:paraId="638E3205"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Кроме того, до конца 2024 года продлевается возможность упрощения разрешительных процедур по решению госорганов. Например, они могут принимать решения о сокращении сроков предоставления услуг в сфере разрешительной деятельности, о сокращении обязательных требований или перечня документов, предоставляемых для получения разрешений, о временной отмене оценки соответствия обязательным требованиям.</w:t>
      </w:r>
    </w:p>
    <w:p w14:paraId="6121C5FA"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Срок получения</w:t>
      </w:r>
    </w:p>
    <w:p w14:paraId="67B4F1B1"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2024 год</w:t>
      </w:r>
    </w:p>
    <w:p w14:paraId="23A90665"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Как получить</w:t>
      </w:r>
    </w:p>
    <w:p w14:paraId="2667042B" w14:textId="7CADDFD3"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 xml:space="preserve">Срок действия лицензий и других </w:t>
      </w:r>
      <w:r>
        <w:rPr>
          <w:rFonts w:ascii="Times New Roman" w:hAnsi="Times New Roman" w:cs="Times New Roman"/>
          <w:sz w:val="24"/>
          <w:szCs w:val="24"/>
        </w:rPr>
        <w:t>видов разрешительных документов</w:t>
      </w:r>
      <w:r w:rsidRPr="003958B8">
        <w:rPr>
          <w:rFonts w:ascii="Times New Roman" w:hAnsi="Times New Roman" w:cs="Times New Roman"/>
          <w:sz w:val="24"/>
          <w:szCs w:val="24"/>
        </w:rPr>
        <w:t xml:space="preserve"> продлевается автоматически.</w:t>
      </w:r>
    </w:p>
    <w:p w14:paraId="5917B74B"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3958B8">
        <w:rPr>
          <w:rFonts w:ascii="Times New Roman" w:hAnsi="Times New Roman" w:cs="Times New Roman"/>
          <w:b/>
          <w:sz w:val="24"/>
          <w:szCs w:val="24"/>
        </w:rPr>
        <w:t>Документы, вводящие меру</w:t>
      </w:r>
    </w:p>
    <w:p w14:paraId="7DDF91A2"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23 декабря 2023 года №2269</w:t>
      </w:r>
    </w:p>
    <w:p w14:paraId="04E2E872"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Правительства от 23 января 2023 года №63</w:t>
      </w:r>
    </w:p>
    <w:p w14:paraId="0FFC02CE"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31 августа 2022 года №1522</w:t>
      </w:r>
    </w:p>
    <w:p w14:paraId="520464D0"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9 апреля 2022 года №626</w:t>
      </w:r>
    </w:p>
    <w:p w14:paraId="0D9C6073" w14:textId="77777777" w:rsidR="003958B8" w:rsidRPr="003958B8" w:rsidRDefault="003958B8" w:rsidP="003958B8">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3958B8">
        <w:rPr>
          <w:rFonts w:ascii="Times New Roman" w:hAnsi="Times New Roman" w:cs="Times New Roman"/>
          <w:sz w:val="24"/>
          <w:szCs w:val="24"/>
        </w:rPr>
        <w:t>Постановление от 12 марта 2022 года №353</w:t>
      </w:r>
    </w:p>
    <w:p w14:paraId="446CE175" w14:textId="77777777" w:rsidR="00393BEE" w:rsidRDefault="00393BEE" w:rsidP="0074781A">
      <w:pPr>
        <w:shd w:val="clear" w:color="auto" w:fill="FFFFFF" w:themeFill="background1"/>
        <w:tabs>
          <w:tab w:val="left" w:pos="1152"/>
        </w:tabs>
        <w:spacing w:line="240" w:lineRule="auto"/>
        <w:rPr>
          <w:rFonts w:ascii="Times New Roman" w:hAnsi="Times New Roman" w:cs="Times New Roman"/>
          <w:sz w:val="24"/>
          <w:szCs w:val="24"/>
        </w:rPr>
      </w:pPr>
    </w:p>
    <w:p w14:paraId="24400498" w14:textId="03852A44" w:rsidR="002F4B22" w:rsidRPr="00342744" w:rsidRDefault="002F4B22" w:rsidP="00766679">
      <w:pPr>
        <w:pStyle w:val="a5"/>
        <w:numPr>
          <w:ilvl w:val="0"/>
          <w:numId w:val="2"/>
        </w:numPr>
        <w:shd w:val="clear" w:color="auto" w:fill="E2EFD9" w:themeFill="accent6" w:themeFillTint="33"/>
        <w:spacing w:line="240" w:lineRule="auto"/>
        <w:jc w:val="both"/>
        <w:rPr>
          <w:rFonts w:ascii="Times New Roman" w:hAnsi="Times New Roman" w:cs="Times New Roman"/>
          <w:b/>
          <w:sz w:val="24"/>
          <w:szCs w:val="24"/>
        </w:rPr>
      </w:pPr>
      <w:r w:rsidRPr="00342744">
        <w:rPr>
          <w:rFonts w:ascii="Times New Roman" w:hAnsi="Times New Roman" w:cs="Times New Roman"/>
          <w:b/>
          <w:sz w:val="24"/>
          <w:szCs w:val="24"/>
        </w:rPr>
        <w:t>Мораторий на плановые проверки бизнеса</w:t>
      </w:r>
    </w:p>
    <w:p w14:paraId="62FBC298"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Описание меры</w:t>
      </w:r>
    </w:p>
    <w:p w14:paraId="6F653E92"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До конца 2024 года будет действовать мораторий на проведение плановых проверок предприятий и предпринимателей.</w:t>
      </w:r>
    </w:p>
    <w:p w14:paraId="1A1E62D3"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При этом плановые проверки будут сохранены только в отношении небольшого закрытого перечня объектов контроля, в рамках санитарно-эпидемиологического, ветеринарного и пожарного контроля, а также надзора в области промышленной безопасности.</w:t>
      </w:r>
    </w:p>
    <w:p w14:paraId="1AC1EED4"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Проведение внеплановых контрольных мероприятий допускается лишь в исключительных случаях при угрозе жизни и причинения тяжкого вреда здоровью граждан, угрозе обороне страны и безопасности государства, а также при угрозе возникновения чрезвычайных ситуаций природного и техногенного характера. При этом такие проверки должны быть согласованы с органами прокуратуры.</w:t>
      </w:r>
    </w:p>
    <w:p w14:paraId="1CF3FB02"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Представители бизнеса, в отношении которых планируется проверка, могут не позднее чем за 2 месяца до плановой проверки обратиться в контрольный орган с просьбой о проведении профилактического визита. Главное его отличие от проверок в том, что по результатам такого мероприятия нет штрафов и наказания.</w:t>
      </w:r>
    </w:p>
    <w:p w14:paraId="56F133D9"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Внеплановые проверки также могут проводиться по поручению Президента Российской Федерации и Правительства Российской Федерации.</w:t>
      </w:r>
    </w:p>
    <w:p w14:paraId="7E5EE78A"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Срок получения</w:t>
      </w:r>
    </w:p>
    <w:p w14:paraId="19E5A5ED"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До конца 2024 года.</w:t>
      </w:r>
    </w:p>
    <w:p w14:paraId="1A1B3444"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Как получить</w:t>
      </w:r>
    </w:p>
    <w:p w14:paraId="20B0CCE7"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Автоматически.</w:t>
      </w:r>
    </w:p>
    <w:p w14:paraId="39B1763C"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Упрощено обжалование проверок во время моратория</w:t>
      </w:r>
    </w:p>
    <w:p w14:paraId="6811BE1A"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b/>
          <w:sz w:val="24"/>
          <w:szCs w:val="24"/>
        </w:rPr>
      </w:pPr>
      <w:r w:rsidRPr="00772F1B">
        <w:rPr>
          <w:rFonts w:ascii="Times New Roman" w:hAnsi="Times New Roman" w:cs="Times New Roman"/>
          <w:b/>
          <w:sz w:val="24"/>
          <w:szCs w:val="24"/>
        </w:rPr>
        <w:t>Документы, вводящие меру</w:t>
      </w:r>
    </w:p>
    <w:p w14:paraId="0BB6D147"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14 декабря 2023 года №2140</w:t>
      </w:r>
    </w:p>
    <w:p w14:paraId="7F873E7F"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 октября 2022 года №1743</w:t>
      </w:r>
    </w:p>
    <w:p w14:paraId="027586B3" w14:textId="77777777" w:rsidR="00772F1B" w:rsidRPr="00772F1B" w:rsidRDefault="00772F1B" w:rsidP="00772F1B">
      <w:pPr>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E2EFD9" w:themeFill="accent6" w:themeFillTint="33"/>
        <w:spacing w:line="240" w:lineRule="auto"/>
        <w:jc w:val="both"/>
        <w:rPr>
          <w:rFonts w:ascii="Times New Roman" w:hAnsi="Times New Roman" w:cs="Times New Roman"/>
          <w:sz w:val="24"/>
          <w:szCs w:val="24"/>
        </w:rPr>
      </w:pPr>
      <w:r w:rsidRPr="00772F1B">
        <w:rPr>
          <w:rFonts w:ascii="Times New Roman" w:hAnsi="Times New Roman" w:cs="Times New Roman"/>
          <w:sz w:val="24"/>
          <w:szCs w:val="24"/>
        </w:rPr>
        <w:t>Постановление от 10 марта 2022 года №336</w:t>
      </w:r>
    </w:p>
    <w:p w14:paraId="6B7F7DA3" w14:textId="6C0E7AA9" w:rsidR="00137759" w:rsidRDefault="00137759" w:rsidP="00137759">
      <w:pPr>
        <w:rPr>
          <w:rFonts w:ascii="Times New Roman" w:hAnsi="Times New Roman" w:cs="Times New Roman"/>
        </w:rPr>
      </w:pPr>
    </w:p>
    <w:p w14:paraId="3BF9DBEA" w14:textId="77777777" w:rsidR="00037D32" w:rsidRDefault="00037D32" w:rsidP="00137759">
      <w:pPr>
        <w:rPr>
          <w:rFonts w:ascii="Times New Roman" w:hAnsi="Times New Roman" w:cs="Times New Roman"/>
        </w:rPr>
      </w:pPr>
    </w:p>
    <w:p w14:paraId="02F0D689" w14:textId="78DBEB61" w:rsidR="00ED1711" w:rsidRPr="00F10141" w:rsidRDefault="00C34A3E" w:rsidP="00010CAD">
      <w:pPr>
        <w:pStyle w:val="1"/>
        <w:rPr>
          <w:rFonts w:ascii="Times New Roman" w:hAnsi="Times New Roman" w:cs="Times New Roman"/>
          <w:b/>
          <w:sz w:val="24"/>
          <w:szCs w:val="24"/>
        </w:rPr>
      </w:pPr>
      <w:bookmarkStart w:id="10" w:name="_Toc178606975"/>
      <w:r w:rsidRPr="00F10141">
        <w:rPr>
          <w:rFonts w:ascii="Times New Roman" w:hAnsi="Times New Roman" w:cs="Times New Roman"/>
          <w:b/>
          <w:sz w:val="24"/>
          <w:szCs w:val="24"/>
        </w:rPr>
        <w:t>МЕРЫ БАНКА РОССИИ</w:t>
      </w:r>
      <w:bookmarkEnd w:id="10"/>
    </w:p>
    <w:p w14:paraId="18F47DEC" w14:textId="77777777" w:rsidR="007C55F9" w:rsidRPr="00F10141" w:rsidRDefault="007C55F9" w:rsidP="0024302A">
      <w:pPr>
        <w:shd w:val="clear" w:color="auto" w:fill="FFFFFF" w:themeFill="background1"/>
        <w:jc w:val="both"/>
        <w:rPr>
          <w:rStyle w:val="a4"/>
          <w:rFonts w:ascii="Times New Roman" w:hAnsi="Times New Roman" w:cs="Times New Roman"/>
          <w:b/>
          <w:sz w:val="24"/>
          <w:szCs w:val="24"/>
        </w:rPr>
      </w:pPr>
    </w:p>
    <w:p w14:paraId="5A9673D6" w14:textId="77777777" w:rsidR="00EA70A2" w:rsidRPr="00F10141" w:rsidRDefault="00EA70A2" w:rsidP="00EA70A2">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Банк России принимает все необходимые меры для поддержания финансовой стабильности, стабилизации ситуации на финансовом рынке и обеспечения непрерывности операционной деятельности финансовых организаций.</w:t>
      </w:r>
    </w:p>
    <w:p w14:paraId="58E6C589" w14:textId="77777777" w:rsidR="00EA70A2" w:rsidRDefault="00344645" w:rsidP="00EA70A2">
      <w:pPr>
        <w:shd w:val="clear" w:color="auto" w:fill="FFFFFF" w:themeFill="background1"/>
        <w:jc w:val="both"/>
        <w:rPr>
          <w:rStyle w:val="a4"/>
          <w:rFonts w:ascii="Times New Roman" w:hAnsi="Times New Roman" w:cs="Times New Roman"/>
          <w:b/>
          <w:sz w:val="24"/>
          <w:szCs w:val="24"/>
        </w:rPr>
      </w:pPr>
      <w:hyperlink r:id="rId17" w:history="1">
        <w:r w:rsidR="00EA70A2" w:rsidRPr="00F10141">
          <w:rPr>
            <w:rStyle w:val="a4"/>
            <w:rFonts w:ascii="Times New Roman" w:hAnsi="Times New Roman" w:cs="Times New Roman"/>
            <w:b/>
            <w:sz w:val="24"/>
            <w:szCs w:val="24"/>
          </w:rPr>
          <w:t>http://www.cbr.ru/support_measures/</w:t>
        </w:r>
      </w:hyperlink>
    </w:p>
    <w:p w14:paraId="7B767041" w14:textId="77777777" w:rsidR="00037D32" w:rsidRDefault="00037D32" w:rsidP="00EA70A2">
      <w:pPr>
        <w:shd w:val="clear" w:color="auto" w:fill="FFFFFF" w:themeFill="background1"/>
        <w:jc w:val="both"/>
        <w:rPr>
          <w:rStyle w:val="a4"/>
          <w:rFonts w:ascii="Times New Roman" w:hAnsi="Times New Roman" w:cs="Times New Roman"/>
          <w:b/>
          <w:sz w:val="24"/>
          <w:szCs w:val="24"/>
        </w:rPr>
      </w:pPr>
    </w:p>
    <w:p w14:paraId="0A9F73F2" w14:textId="06AFA834" w:rsidR="00037D32" w:rsidRPr="00037D32" w:rsidRDefault="00037D32" w:rsidP="00037D32">
      <w:pPr>
        <w:shd w:val="clear" w:color="auto" w:fill="C9C9FF"/>
        <w:jc w:val="both"/>
        <w:rPr>
          <w:rFonts w:ascii="Times New Roman" w:hAnsi="Times New Roman" w:cs="Times New Roman"/>
          <w:b/>
          <w:sz w:val="24"/>
          <w:szCs w:val="24"/>
          <w:highlight w:val="cyan"/>
        </w:rPr>
      </w:pPr>
      <w:r w:rsidRPr="00037D32">
        <w:rPr>
          <w:rFonts w:ascii="Times New Roman" w:hAnsi="Times New Roman" w:cs="Times New Roman"/>
          <w:b/>
          <w:sz w:val="24"/>
          <w:szCs w:val="24"/>
          <w:highlight w:val="cyan"/>
        </w:rPr>
        <w:t xml:space="preserve">ПРОДЛЕНЫ ОГРАНИЧЕНИЯ НА ПЕРЕВОДЫ ЗА РУБЕЖ СРЕДСТВ НЕРЕЗИДЕНТОВ ИЗ НЕДРУЖЕСТВЕННЫХ СТРАН СО СЧЕТОВ БРОКЕРОВ И ДОВЕРИТЕЛЬНЫХ УПРАВЛЯЮЩИХ </w:t>
      </w:r>
    </w:p>
    <w:p w14:paraId="539064A5"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highlight w:val="cyan"/>
        </w:rPr>
        <w:t>От 23.09.2024</w:t>
      </w:r>
    </w:p>
    <w:p w14:paraId="59BD461C"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Такие операции Банк России приостанавливает с 1 октября 2024 года еще на 6 месяцев. Ограничения касаются переводов со счетов, открытых физическими и юридическими лицами у российских брокеров и доверительных управляющих. Они были введены с 1 апреля 2022 года.</w:t>
      </w:r>
    </w:p>
    <w:p w14:paraId="4D3779A3"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Решение принято для поддержания финансовой стабильности.</w:t>
      </w:r>
    </w:p>
    <w:p w14:paraId="4267CAA0" w14:textId="77777777" w:rsidR="00037D32" w:rsidRPr="00037D32" w:rsidRDefault="00037D32" w:rsidP="00037D32"/>
    <w:p w14:paraId="1D5FBC36" w14:textId="692480EB" w:rsidR="00037D32" w:rsidRPr="00037D32" w:rsidRDefault="00037D32" w:rsidP="00037D32">
      <w:pPr>
        <w:shd w:val="clear" w:color="auto" w:fill="C9C9FF"/>
        <w:jc w:val="both"/>
        <w:rPr>
          <w:rFonts w:ascii="Times New Roman" w:hAnsi="Times New Roman" w:cs="Times New Roman"/>
          <w:b/>
          <w:sz w:val="24"/>
          <w:szCs w:val="24"/>
          <w:highlight w:val="cyan"/>
        </w:rPr>
      </w:pPr>
      <w:r w:rsidRPr="00037D32">
        <w:rPr>
          <w:rFonts w:ascii="Times New Roman" w:hAnsi="Times New Roman" w:cs="Times New Roman"/>
          <w:b/>
          <w:sz w:val="24"/>
          <w:szCs w:val="24"/>
          <w:highlight w:val="cyan"/>
        </w:rPr>
        <w:t xml:space="preserve">БАНК РОССИИ ПРОДЛИЛ ЕЩЕ НА 6 МЕСЯЦЕВ ОГРАНИЧЕНИЯ НА ПЕРЕВОД СРЕДСТВ ЗА РУБЕЖ </w:t>
      </w:r>
    </w:p>
    <w:p w14:paraId="0AEA578E" w14:textId="6C0E2D6F" w:rsidR="00037D32" w:rsidRPr="00037D32" w:rsidRDefault="00037D32" w:rsidP="00037D32">
      <w:pPr>
        <w:shd w:val="clear" w:color="auto" w:fill="C9C9FF"/>
        <w:jc w:val="both"/>
        <w:rPr>
          <w:rFonts w:ascii="Times New Roman" w:hAnsi="Times New Roman" w:cs="Times New Roman"/>
          <w:b/>
          <w:sz w:val="24"/>
          <w:szCs w:val="24"/>
        </w:rPr>
      </w:pPr>
      <w:r w:rsidRPr="00037D32">
        <w:rPr>
          <w:rFonts w:ascii="Times New Roman" w:hAnsi="Times New Roman" w:cs="Times New Roman"/>
          <w:b/>
          <w:sz w:val="24"/>
          <w:szCs w:val="24"/>
          <w:highlight w:val="cyan"/>
        </w:rPr>
        <w:t>От 23.09.2024</w:t>
      </w:r>
    </w:p>
    <w:p w14:paraId="5B2DA918"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Они будут действовать с 1 октября 2024 года до 31 марта 2025 года включительно.</w:t>
      </w:r>
    </w:p>
    <w:p w14:paraId="01BCD4A4"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Граждане России и физические лица — нерезиденты из дружественных стран по-прежнему смогут в течение месяца перевести на любые счета в зарубежных банках не более 1 млн долларов США или эквивалент в другой иностранной валюте.</w:t>
      </w:r>
    </w:p>
    <w:p w14:paraId="44363FAA"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Сохраняются и лимиты на перечисления через системы денежных переводов — за месяц не более 10 тыс. долларов США или эквивалент в другой иностранной валюте. Суммы переводов определяются по официальному курсу иностранных валют к рублю на дату получения банком поручения об операции.</w:t>
      </w:r>
    </w:p>
    <w:p w14:paraId="70353D6A"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Физические лица — нерезиденты, работающие в России, могут перевести за рубеж средства в размере заработной платы. Такое право есть у представителей как дружественных, так и недружественных стран.</w:t>
      </w:r>
    </w:p>
    <w:p w14:paraId="4582087D"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Сохраняется запрет на перевод средств за рубеж для не работающих в России физических лиц — нерезидентов из недружественных стран, а также для юридических лиц из таких государств. Это ограничение не касается иностранных компаний, которые находятся под контролем российских юридических или физических лиц.</w:t>
      </w:r>
    </w:p>
    <w:p w14:paraId="288C7C5A" w14:textId="77777777" w:rsidR="00037D32" w:rsidRPr="00037D32" w:rsidRDefault="00037D32" w:rsidP="00037D32">
      <w:pPr>
        <w:shd w:val="clear" w:color="auto" w:fill="C9C9FF"/>
        <w:jc w:val="both"/>
        <w:rPr>
          <w:rFonts w:ascii="Times New Roman" w:hAnsi="Times New Roman" w:cs="Times New Roman"/>
          <w:sz w:val="24"/>
          <w:szCs w:val="24"/>
        </w:rPr>
      </w:pPr>
      <w:r w:rsidRPr="00037D32">
        <w:rPr>
          <w:rFonts w:ascii="Times New Roman" w:hAnsi="Times New Roman" w:cs="Times New Roman"/>
          <w:sz w:val="24"/>
          <w:szCs w:val="24"/>
        </w:rPr>
        <w:t>Банки из недружественных государств могут осуществлять переводы денежных средств в рублях с использованием корреспондентских счетов, открытых в российских кредитных организациях, если счета плательщика и получателя открыты в зарубежных банках.</w:t>
      </w:r>
    </w:p>
    <w:p w14:paraId="787C9764" w14:textId="77777777" w:rsidR="005006EF" w:rsidRPr="00037D32" w:rsidRDefault="005006EF" w:rsidP="00037D32"/>
    <w:p w14:paraId="5DA07B1D" w14:textId="037A20F5" w:rsidR="00D2036D" w:rsidRPr="00D2036D" w:rsidRDefault="00D2036D" w:rsidP="00D2036D">
      <w:pPr>
        <w:shd w:val="clear" w:color="auto" w:fill="C9C9FF"/>
        <w:jc w:val="both"/>
        <w:rPr>
          <w:rFonts w:ascii="Times New Roman" w:hAnsi="Times New Roman" w:cs="Times New Roman"/>
          <w:b/>
          <w:sz w:val="24"/>
          <w:szCs w:val="24"/>
        </w:rPr>
      </w:pPr>
      <w:r w:rsidRPr="00D2036D">
        <w:rPr>
          <w:rFonts w:ascii="Times New Roman" w:hAnsi="Times New Roman" w:cs="Times New Roman"/>
          <w:b/>
          <w:sz w:val="24"/>
          <w:szCs w:val="24"/>
        </w:rPr>
        <w:t>РЕШЕНИЕ СОВЕТА ДИРЕКТОРОВ О ВНЕСЕНИИ ИЗМЕНЕНИЙ В РЕЖИМ СЧЕТОВ ТИПА «С»</w:t>
      </w:r>
    </w:p>
    <w:p w14:paraId="709FDF46" w14:textId="34D26A12" w:rsidR="00D2036D" w:rsidRPr="00D2036D" w:rsidRDefault="00D2036D" w:rsidP="00D2036D">
      <w:pPr>
        <w:shd w:val="clear" w:color="auto" w:fill="C9C9FF"/>
        <w:jc w:val="both"/>
        <w:rPr>
          <w:rFonts w:ascii="Times New Roman" w:hAnsi="Times New Roman" w:cs="Times New Roman"/>
          <w:b/>
          <w:sz w:val="24"/>
          <w:szCs w:val="24"/>
        </w:rPr>
      </w:pPr>
      <w:r w:rsidRPr="00D2036D">
        <w:rPr>
          <w:rFonts w:ascii="Times New Roman" w:hAnsi="Times New Roman" w:cs="Times New Roman"/>
          <w:b/>
          <w:sz w:val="24"/>
          <w:szCs w:val="24"/>
        </w:rPr>
        <w:t>От 28.08.2024</w:t>
      </w:r>
    </w:p>
    <w:p w14:paraId="4045752B"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Совет директоров Банка России 28 августа 2024 года принял решение внести в решение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43ACCC76" w14:textId="77777777" w:rsidR="00D2036D" w:rsidRPr="00D2036D" w:rsidRDefault="00D2036D" w:rsidP="00D2036D">
      <w:pPr>
        <w:shd w:val="clear" w:color="auto" w:fill="C9C9FF"/>
        <w:jc w:val="both"/>
        <w:rPr>
          <w:rFonts w:ascii="Times New Roman" w:hAnsi="Times New Roman" w:cs="Times New Roman"/>
          <w:sz w:val="24"/>
          <w:szCs w:val="24"/>
        </w:rPr>
      </w:pPr>
    </w:p>
    <w:p w14:paraId="572C9C8A"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1.1. Пункт 1 дополнить словами «, специального депозитарного счета типа «С» для учета денежных средств в валюте Российской Федерации».</w:t>
      </w:r>
    </w:p>
    <w:p w14:paraId="657E3385" w14:textId="77777777" w:rsidR="00D2036D" w:rsidRPr="00D2036D" w:rsidRDefault="00D2036D" w:rsidP="00D2036D">
      <w:pPr>
        <w:shd w:val="clear" w:color="auto" w:fill="C9C9FF"/>
        <w:jc w:val="both"/>
        <w:rPr>
          <w:rFonts w:ascii="Times New Roman" w:hAnsi="Times New Roman" w:cs="Times New Roman"/>
          <w:sz w:val="24"/>
          <w:szCs w:val="24"/>
        </w:rPr>
      </w:pPr>
    </w:p>
    <w:p w14:paraId="358B69E8"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1.2. В подпункте 1.1 пункта 1:</w:t>
      </w:r>
    </w:p>
    <w:p w14:paraId="406AB509" w14:textId="77777777" w:rsidR="00D2036D" w:rsidRPr="00D2036D" w:rsidRDefault="00D2036D" w:rsidP="00D2036D">
      <w:pPr>
        <w:shd w:val="clear" w:color="auto" w:fill="C9C9FF"/>
        <w:jc w:val="both"/>
        <w:rPr>
          <w:rFonts w:ascii="Times New Roman" w:hAnsi="Times New Roman" w:cs="Times New Roman"/>
          <w:sz w:val="24"/>
          <w:szCs w:val="24"/>
        </w:rPr>
      </w:pPr>
    </w:p>
    <w:p w14:paraId="58AFE63F"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 абзаце пятом слово «им» исключить;</w:t>
      </w:r>
    </w:p>
    <w:p w14:paraId="6F20DFC4" w14:textId="77777777" w:rsidR="00D2036D" w:rsidRPr="00D2036D" w:rsidRDefault="00D2036D" w:rsidP="00D2036D">
      <w:pPr>
        <w:shd w:val="clear" w:color="auto" w:fill="C9C9FF"/>
        <w:jc w:val="both"/>
        <w:rPr>
          <w:rFonts w:ascii="Times New Roman" w:hAnsi="Times New Roman" w:cs="Times New Roman"/>
          <w:sz w:val="24"/>
          <w:szCs w:val="24"/>
        </w:rPr>
      </w:pPr>
    </w:p>
    <w:p w14:paraId="5B355D1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шестой дополнить словами «; переводы с банковских счетов типа «С», открытых другому нерезиденту, в целях приобретения иностранных ценных бумаг в соответствии с порядком, определенным Указом № 844»;</w:t>
      </w:r>
    </w:p>
    <w:p w14:paraId="2940EAA3" w14:textId="77777777" w:rsidR="00D2036D" w:rsidRPr="00D2036D" w:rsidRDefault="00D2036D" w:rsidP="00D2036D">
      <w:pPr>
        <w:shd w:val="clear" w:color="auto" w:fill="C9C9FF"/>
        <w:jc w:val="both"/>
        <w:rPr>
          <w:rFonts w:ascii="Times New Roman" w:hAnsi="Times New Roman" w:cs="Times New Roman"/>
          <w:sz w:val="24"/>
          <w:szCs w:val="24"/>
        </w:rPr>
      </w:pPr>
    </w:p>
    <w:p w14:paraId="3A763A4B"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двенадцатый дополнить словами «; переводов на банковские счета типа «С», открытые другому нерезиденту, в целях приобретения иностранных ценных бумаг в соответствии с порядком, определенным Указом № 844, а также в целях возврата денежных средств, ранее перечисленных другим нерезидентом для приобретения иностранных ценных бумаг в указанном порядке».</w:t>
      </w:r>
    </w:p>
    <w:p w14:paraId="64A7293C" w14:textId="77777777" w:rsidR="00D2036D" w:rsidRPr="00D2036D" w:rsidRDefault="00D2036D" w:rsidP="00D2036D">
      <w:pPr>
        <w:shd w:val="clear" w:color="auto" w:fill="C9C9FF"/>
        <w:jc w:val="both"/>
        <w:rPr>
          <w:rFonts w:ascii="Times New Roman" w:hAnsi="Times New Roman" w:cs="Times New Roman"/>
          <w:sz w:val="24"/>
          <w:szCs w:val="24"/>
        </w:rPr>
      </w:pPr>
    </w:p>
    <w:p w14:paraId="7BE5C267"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1.3. В подпункте 1.2 пункта 1:</w:t>
      </w:r>
    </w:p>
    <w:p w14:paraId="385FE0EE" w14:textId="77777777" w:rsidR="00D2036D" w:rsidRPr="00D2036D" w:rsidRDefault="00D2036D" w:rsidP="00D2036D">
      <w:pPr>
        <w:shd w:val="clear" w:color="auto" w:fill="C9C9FF"/>
        <w:jc w:val="both"/>
        <w:rPr>
          <w:rFonts w:ascii="Times New Roman" w:hAnsi="Times New Roman" w:cs="Times New Roman"/>
          <w:sz w:val="24"/>
          <w:szCs w:val="24"/>
        </w:rPr>
      </w:pPr>
    </w:p>
    <w:p w14:paraId="5144D982"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абзацы третий, четвертый, шестнадцатый и семнадцатый дополнить словами «, за исключением зачисления на счет депо иностранного номинального держателя типа «С»;</w:t>
      </w:r>
    </w:p>
    <w:p w14:paraId="59594244" w14:textId="77777777" w:rsidR="00D2036D" w:rsidRPr="00D2036D" w:rsidRDefault="00D2036D" w:rsidP="00D2036D">
      <w:pPr>
        <w:shd w:val="clear" w:color="auto" w:fill="C9C9FF"/>
        <w:jc w:val="both"/>
        <w:rPr>
          <w:rFonts w:ascii="Times New Roman" w:hAnsi="Times New Roman" w:cs="Times New Roman"/>
          <w:sz w:val="24"/>
          <w:szCs w:val="24"/>
        </w:rPr>
      </w:pPr>
    </w:p>
    <w:p w14:paraId="50501613"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десятый дополнить словами »; в связи с замещением государственных ценных бумаг Российской Федерации, номинальная стоимость которых указана в иностранной валюте (далее — еврооблигации Российской Федерации), в соответствии с Указом Президента Российской Федерации от 8 августа 2024 года № 677 «О дополнительных мерах по исполнению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(далее — Указ № 677), за исключением зачисления на счет депо иностранного номинального держателя типа «С»;</w:t>
      </w:r>
    </w:p>
    <w:p w14:paraId="2B6BBBE8" w14:textId="77777777" w:rsidR="00D2036D" w:rsidRPr="00D2036D" w:rsidRDefault="00D2036D" w:rsidP="00D2036D">
      <w:pPr>
        <w:shd w:val="clear" w:color="auto" w:fill="C9C9FF"/>
        <w:jc w:val="both"/>
        <w:rPr>
          <w:rFonts w:ascii="Times New Roman" w:hAnsi="Times New Roman" w:cs="Times New Roman"/>
          <w:sz w:val="24"/>
          <w:szCs w:val="24"/>
        </w:rPr>
      </w:pPr>
    </w:p>
    <w:p w14:paraId="5F14876D"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абзац тридцать первый дополнить словами «; в связи с замещением еврооблигаций Российской Федерации в соответствии с Указом № 677».</w:t>
      </w:r>
    </w:p>
    <w:p w14:paraId="319C39C3" w14:textId="77777777" w:rsidR="00D2036D" w:rsidRPr="00D2036D" w:rsidRDefault="00D2036D" w:rsidP="00D2036D">
      <w:pPr>
        <w:shd w:val="clear" w:color="auto" w:fill="C9C9FF"/>
        <w:jc w:val="both"/>
        <w:rPr>
          <w:rFonts w:ascii="Times New Roman" w:hAnsi="Times New Roman" w:cs="Times New Roman"/>
          <w:sz w:val="24"/>
          <w:szCs w:val="24"/>
        </w:rPr>
      </w:pPr>
    </w:p>
    <w:p w14:paraId="5160CD8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1.4. Пункт 1 дополнить подпунктом 1.8 следующего содержания:</w:t>
      </w:r>
    </w:p>
    <w:p w14:paraId="09B965CD" w14:textId="77777777" w:rsidR="00D2036D" w:rsidRPr="00D2036D" w:rsidRDefault="00D2036D" w:rsidP="00D2036D">
      <w:pPr>
        <w:shd w:val="clear" w:color="auto" w:fill="C9C9FF"/>
        <w:jc w:val="both"/>
        <w:rPr>
          <w:rFonts w:ascii="Times New Roman" w:hAnsi="Times New Roman" w:cs="Times New Roman"/>
          <w:sz w:val="24"/>
          <w:szCs w:val="24"/>
        </w:rPr>
      </w:pPr>
    </w:p>
    <w:p w14:paraId="28830DF7"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«1.8. Режим специального депозитарного счета типа «С».</w:t>
      </w:r>
    </w:p>
    <w:p w14:paraId="46BB81D0" w14:textId="77777777" w:rsidR="00D2036D" w:rsidRPr="00D2036D" w:rsidRDefault="00D2036D" w:rsidP="00D2036D">
      <w:pPr>
        <w:shd w:val="clear" w:color="auto" w:fill="C9C9FF"/>
        <w:jc w:val="both"/>
        <w:rPr>
          <w:rFonts w:ascii="Times New Roman" w:hAnsi="Times New Roman" w:cs="Times New Roman"/>
          <w:sz w:val="24"/>
          <w:szCs w:val="24"/>
        </w:rPr>
      </w:pPr>
    </w:p>
    <w:p w14:paraId="226FF489"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На специальный депозитарный счет типа «С» могут зачисляться денежные средства:</w:t>
      </w:r>
    </w:p>
    <w:p w14:paraId="3C04FBCB" w14:textId="77777777" w:rsidR="00D2036D" w:rsidRPr="00D2036D" w:rsidRDefault="00D2036D" w:rsidP="00D2036D">
      <w:pPr>
        <w:shd w:val="clear" w:color="auto" w:fill="C9C9FF"/>
        <w:jc w:val="both"/>
        <w:rPr>
          <w:rFonts w:ascii="Times New Roman" w:hAnsi="Times New Roman" w:cs="Times New Roman"/>
          <w:sz w:val="24"/>
          <w:szCs w:val="24"/>
        </w:rPr>
      </w:pPr>
    </w:p>
    <w:p w14:paraId="263C744A"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перечисляемые с открытого тому же депозитарию специального депозитарного счета;</w:t>
      </w:r>
    </w:p>
    <w:p w14:paraId="7845F0AE" w14:textId="77777777" w:rsidR="00D2036D" w:rsidRPr="00D2036D" w:rsidRDefault="00D2036D" w:rsidP="00D2036D">
      <w:pPr>
        <w:shd w:val="clear" w:color="auto" w:fill="C9C9FF"/>
        <w:jc w:val="both"/>
        <w:rPr>
          <w:rFonts w:ascii="Times New Roman" w:hAnsi="Times New Roman" w:cs="Times New Roman"/>
          <w:sz w:val="24"/>
          <w:szCs w:val="24"/>
        </w:rPr>
      </w:pPr>
    </w:p>
    <w:p w14:paraId="2E2F2D16"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ошибочно списанные со специального депозитарного счета типа «С»;</w:t>
      </w:r>
    </w:p>
    <w:p w14:paraId="62E171CB" w14:textId="77777777" w:rsidR="00D2036D" w:rsidRPr="00D2036D" w:rsidRDefault="00D2036D" w:rsidP="00D2036D">
      <w:pPr>
        <w:shd w:val="clear" w:color="auto" w:fill="C9C9FF"/>
        <w:jc w:val="both"/>
        <w:rPr>
          <w:rFonts w:ascii="Times New Roman" w:hAnsi="Times New Roman" w:cs="Times New Roman"/>
          <w:sz w:val="24"/>
          <w:szCs w:val="24"/>
        </w:rPr>
      </w:pPr>
    </w:p>
    <w:p w14:paraId="7DD7598D"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возвращаемые суммы налогов, ранее уплаченные с этого счета.</w:t>
      </w:r>
    </w:p>
    <w:p w14:paraId="49936A23" w14:textId="77777777" w:rsidR="00D2036D" w:rsidRPr="00D2036D" w:rsidRDefault="00D2036D" w:rsidP="00D2036D">
      <w:pPr>
        <w:shd w:val="clear" w:color="auto" w:fill="C9C9FF"/>
        <w:jc w:val="both"/>
        <w:rPr>
          <w:rFonts w:ascii="Times New Roman" w:hAnsi="Times New Roman" w:cs="Times New Roman"/>
          <w:sz w:val="24"/>
          <w:szCs w:val="24"/>
        </w:rPr>
      </w:pPr>
    </w:p>
    <w:p w14:paraId="375B9A8E"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Со специального депозитарного счета типа «С» могут списываться денежные средства в целях осуществления:</w:t>
      </w:r>
    </w:p>
    <w:p w14:paraId="50450B42" w14:textId="77777777" w:rsidR="00D2036D" w:rsidRPr="00D2036D" w:rsidRDefault="00D2036D" w:rsidP="00D2036D">
      <w:pPr>
        <w:shd w:val="clear" w:color="auto" w:fill="C9C9FF"/>
        <w:jc w:val="both"/>
        <w:rPr>
          <w:rFonts w:ascii="Times New Roman" w:hAnsi="Times New Roman" w:cs="Times New Roman"/>
          <w:sz w:val="24"/>
          <w:szCs w:val="24"/>
        </w:rPr>
      </w:pPr>
    </w:p>
    <w:p w14:paraId="03CDBC5F"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переводов денежных средств в качестве выплат по финансовым инструментам на банковские счета (в том числе в соответствии с требованиями Указа № 95 на банковские счета типа «С», банковские счета доверительного управления типа «С»);</w:t>
      </w:r>
    </w:p>
    <w:p w14:paraId="06C03061" w14:textId="77777777" w:rsidR="00D2036D" w:rsidRPr="00D2036D" w:rsidRDefault="00D2036D" w:rsidP="00D2036D">
      <w:pPr>
        <w:shd w:val="clear" w:color="auto" w:fill="C9C9FF"/>
        <w:jc w:val="both"/>
        <w:rPr>
          <w:rFonts w:ascii="Times New Roman" w:hAnsi="Times New Roman" w:cs="Times New Roman"/>
          <w:sz w:val="24"/>
          <w:szCs w:val="24"/>
        </w:rPr>
      </w:pPr>
    </w:p>
    <w:p w14:paraId="160C9EA1"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уплаты налогов во исполнение депозитарием обязанностей налогового агента;</w:t>
      </w:r>
    </w:p>
    <w:p w14:paraId="7D2E5276" w14:textId="77777777" w:rsidR="00D2036D" w:rsidRPr="00D2036D" w:rsidRDefault="00D2036D" w:rsidP="00D2036D">
      <w:pPr>
        <w:shd w:val="clear" w:color="auto" w:fill="C9C9FF"/>
        <w:jc w:val="both"/>
        <w:rPr>
          <w:rFonts w:ascii="Times New Roman" w:hAnsi="Times New Roman" w:cs="Times New Roman"/>
          <w:sz w:val="24"/>
          <w:szCs w:val="24"/>
        </w:rPr>
      </w:pPr>
    </w:p>
    <w:p w14:paraId="751E801C"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возврата ошибочно зачисленных на специальный депозитарный счет типа «С» денежных средств.».</w:t>
      </w:r>
    </w:p>
    <w:p w14:paraId="2E25AD21" w14:textId="77777777" w:rsidR="00D2036D" w:rsidRPr="00D2036D" w:rsidRDefault="00D2036D" w:rsidP="00D2036D">
      <w:pPr>
        <w:shd w:val="clear" w:color="auto" w:fill="C9C9FF"/>
        <w:jc w:val="both"/>
        <w:rPr>
          <w:rFonts w:ascii="Times New Roman" w:hAnsi="Times New Roman" w:cs="Times New Roman"/>
          <w:sz w:val="24"/>
          <w:szCs w:val="24"/>
        </w:rPr>
      </w:pPr>
    </w:p>
    <w:p w14:paraId="1B092BB8" w14:textId="77777777" w:rsidR="00D2036D" w:rsidRPr="00D2036D" w:rsidRDefault="00D2036D" w:rsidP="00D2036D">
      <w:pPr>
        <w:shd w:val="clear" w:color="auto" w:fill="C9C9FF"/>
        <w:jc w:val="both"/>
        <w:rPr>
          <w:rFonts w:ascii="Times New Roman" w:hAnsi="Times New Roman" w:cs="Times New Roman"/>
          <w:sz w:val="24"/>
          <w:szCs w:val="24"/>
        </w:rPr>
      </w:pPr>
      <w:r w:rsidRPr="00D2036D">
        <w:rPr>
          <w:rFonts w:ascii="Times New Roman" w:hAnsi="Times New Roman" w:cs="Times New Roman"/>
          <w:sz w:val="24"/>
          <w:szCs w:val="24"/>
        </w:rPr>
        <w:t xml:space="preserve">Решение Совета директоров Банка России о внесении изменений в решение Совета директоров Банка России от 21 ноября 2022 года применяется со дня его опубликования на официальном сайте Банка России в информационно-телекоммуникационной сети «Интернет». </w:t>
      </w:r>
    </w:p>
    <w:p w14:paraId="0749C9E1" w14:textId="77777777" w:rsidR="00D2036D" w:rsidRPr="00D2036D" w:rsidRDefault="00D2036D" w:rsidP="00D2036D"/>
    <w:p w14:paraId="764CC8E2" w14:textId="49DEE6D1" w:rsidR="003716B2" w:rsidRPr="008E05BD" w:rsidRDefault="00A801D9" w:rsidP="00D2036D">
      <w:pPr>
        <w:shd w:val="clear" w:color="auto" w:fill="C9C9FF"/>
        <w:jc w:val="both"/>
        <w:rPr>
          <w:rFonts w:ascii="Times New Roman" w:hAnsi="Times New Roman" w:cs="Times New Roman"/>
          <w:b/>
          <w:sz w:val="24"/>
          <w:szCs w:val="24"/>
        </w:rPr>
      </w:pPr>
      <w:r w:rsidRPr="008E05BD">
        <w:rPr>
          <w:rFonts w:ascii="Times New Roman" w:hAnsi="Times New Roman" w:cs="Times New Roman"/>
          <w:b/>
          <w:sz w:val="24"/>
          <w:szCs w:val="24"/>
        </w:rPr>
        <w:t xml:space="preserve">РЕШЕНИЕ СОВЕТА ДИРЕКТОРОВ БАНКА РОССИИ О ВНЕСЕНИИ ИЗМЕНЕНИЙ В РЕШЕНИЕ СОВЕТА ДИРЕКТОРОВ БАНКА РОССИИ ОТ 21 НОЯБРЯ 2022 ГОДА </w:t>
      </w:r>
    </w:p>
    <w:p w14:paraId="7AC37F8F" w14:textId="477069D7" w:rsidR="003716B2" w:rsidRPr="003716B2" w:rsidRDefault="003716B2" w:rsidP="003716B2">
      <w:pPr>
        <w:shd w:val="clear" w:color="auto" w:fill="C9C9FF"/>
        <w:jc w:val="both"/>
        <w:rPr>
          <w:rFonts w:ascii="Times New Roman" w:hAnsi="Times New Roman" w:cs="Times New Roman"/>
          <w:b/>
          <w:sz w:val="24"/>
          <w:szCs w:val="24"/>
        </w:rPr>
      </w:pPr>
      <w:r w:rsidRPr="008E05BD">
        <w:rPr>
          <w:rFonts w:ascii="Times New Roman" w:hAnsi="Times New Roman" w:cs="Times New Roman"/>
          <w:b/>
          <w:sz w:val="24"/>
          <w:szCs w:val="24"/>
        </w:rPr>
        <w:t>От 26.07.2024</w:t>
      </w:r>
    </w:p>
    <w:p w14:paraId="08F43BE8"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Совет директоров Банка России 26.07.2024 принял решение внести в подпункт 1.2 пункта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62C55942"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1.1. Дополнить новым абзацем пятым следующего содержания:</w:t>
      </w:r>
    </w:p>
    <w:p w14:paraId="7E4C123C"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«списанные с другого счета депо типа «С» по сделкам (операциям), влекущим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74EDAEC0"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1.2. Дополнить новым абзацем восемнадцатым следующего содержания:</w:t>
      </w:r>
    </w:p>
    <w:p w14:paraId="43CCD2B3"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«для их зачисления на другой счет депо типа «С» по сделкам (операциям), влекущим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7CBE1708"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1.3. Дополнить новым абзацем двадцать четвертым следующего содержания:</w:t>
      </w:r>
    </w:p>
    <w:p w14:paraId="7D6DE9AD"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«в связи с их зачислением на счета депо другого типа, открытые иностранному лицу, не являющемуся лицом иностранного государства, совершающего недружественные действия, по сделкам (операциям), влекущим за собой переход права собственности на ценные бумаги, совершаемым в соответствии с разрешениями, выданными на основании указов Президента Российской Федерации;»;</w:t>
      </w:r>
    </w:p>
    <w:p w14:paraId="342B0BA5" w14:textId="77777777" w:rsidR="003716B2" w:rsidRPr="00A801D9"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1.4. Абзацы пятый — шестнадцатый считать абзацами шестым — семнадцатым, абзацы семнадцатый — двадцать первый считать абзацами девятнадцатым — двадцать третьим, абзацы двадцать второй — тридцать второй считать абзацами двадцать пятым — тридцать пятым.</w:t>
      </w:r>
    </w:p>
    <w:p w14:paraId="72A70998" w14:textId="02BCFAA5" w:rsidR="003716B2" w:rsidRDefault="003716B2" w:rsidP="003716B2">
      <w:pPr>
        <w:shd w:val="clear" w:color="auto" w:fill="C9C9FF"/>
        <w:jc w:val="both"/>
        <w:rPr>
          <w:rFonts w:ascii="Times New Roman" w:hAnsi="Times New Roman" w:cs="Times New Roman"/>
          <w:sz w:val="24"/>
          <w:szCs w:val="24"/>
        </w:rPr>
      </w:pPr>
      <w:r w:rsidRPr="00A801D9">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45856AA8" w14:textId="0B0FA7DA" w:rsidR="00BF792C" w:rsidRPr="005A138A" w:rsidRDefault="00D71898" w:rsidP="003716B2">
      <w:pPr>
        <w:shd w:val="clear" w:color="auto" w:fill="C9C9FF"/>
        <w:jc w:val="both"/>
        <w:rPr>
          <w:rFonts w:ascii="Times New Roman" w:hAnsi="Times New Roman" w:cs="Times New Roman"/>
          <w:b/>
          <w:sz w:val="24"/>
          <w:szCs w:val="24"/>
        </w:rPr>
      </w:pPr>
      <w:r w:rsidRPr="005A138A">
        <w:rPr>
          <w:rFonts w:ascii="Times New Roman" w:hAnsi="Times New Roman" w:cs="Times New Roman"/>
          <w:b/>
          <w:sz w:val="24"/>
          <w:szCs w:val="24"/>
        </w:rPr>
        <w:t xml:space="preserve">РЕШЕНИЕ СОВЕТА ДИРЕКТОРОВ БАНКА РОССИИ О ВНЕСЕНИИ ИЗМЕНЕНИЙ В РЕШЕНИЕ СОВЕТА ДИРЕКТОРОВ БАНКА РОССИИ ОТ 21 НОЯБРЯ 2022 ГОДА (В ЧАСТИ ИЗМЕНЕНИЯ РЕЖИМА СЧЕТОВ ТИПА «С») </w:t>
      </w:r>
    </w:p>
    <w:p w14:paraId="258B2FE8" w14:textId="29E0AED0" w:rsidR="00BF792C" w:rsidRPr="005A138A" w:rsidRDefault="00BF792C" w:rsidP="00BF792C">
      <w:pPr>
        <w:shd w:val="clear" w:color="auto" w:fill="C9C9FF"/>
        <w:jc w:val="both"/>
        <w:rPr>
          <w:rFonts w:ascii="Times New Roman" w:hAnsi="Times New Roman" w:cs="Times New Roman"/>
          <w:b/>
          <w:sz w:val="24"/>
          <w:szCs w:val="24"/>
        </w:rPr>
      </w:pPr>
      <w:r w:rsidRPr="005A138A">
        <w:rPr>
          <w:rFonts w:ascii="Times New Roman" w:hAnsi="Times New Roman" w:cs="Times New Roman"/>
          <w:b/>
          <w:sz w:val="24"/>
          <w:szCs w:val="24"/>
        </w:rPr>
        <w:t>От 2.05.2024</w:t>
      </w:r>
    </w:p>
    <w:p w14:paraId="0C6BB879"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Совет директоров Банка России 26.04.2024 принял решение внести в пункт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следующие изменения:</w:t>
      </w:r>
    </w:p>
    <w:p w14:paraId="1BC9E56D"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1.1. В подпункте 1.1:</w:t>
      </w:r>
    </w:p>
    <w:p w14:paraId="7F3434D0"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двадцать девятым следующего содержания:</w:t>
      </w:r>
    </w:p>
    <w:p w14:paraId="3C580236"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резиденту денежных средств в размере выплат по ценным бумагам, ранее зачисленных на его банковский счет типа „С“,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банковского счета типа „С“ по указанным в настоящем абзаце основаниям допускается при условии предоставления резидентом либо депозитарием, осуществившим перечисление указанных выплат на банковский счет типа „С“ резидента, кредитной организации, в которой открыт указанный счет типа „С“,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67D6C4DF"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 двадцать девятый считать абзацем тридцатым.</w:t>
      </w:r>
    </w:p>
    <w:p w14:paraId="2C1D2CB9"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1.2. В подпункте 1.3:</w:t>
      </w:r>
    </w:p>
    <w:p w14:paraId="17768CBC" w14:textId="77777777" w:rsidR="00A801D9"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четырнадцатым следующего содержания:</w:t>
      </w:r>
    </w:p>
    <w:p w14:paraId="705445E0" w14:textId="3A01D0E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клиенту — резиденту, в пользу которого они были ранее зачислены на брокерский счет типа „С“,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брокерского счета типа „С“ по указанным в настоящем абзаце основаниям допускается при условии предоставления брокеру указанным клиентом либо депозитарием, осуществившим перечисление указанных выплат, документов (сведений) и письменного подтверждения этого депозитария (если оно запрошено брокером), на основании которых может быть установлено наличие соответствующего основания;»;</w:t>
      </w:r>
    </w:p>
    <w:p w14:paraId="44DAA5B0"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абзацы четырнадцатый и пятнадцатый считать соответственно абзацами пятнадцатым и шестнадцатым.</w:t>
      </w:r>
    </w:p>
    <w:p w14:paraId="6145E6FF"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1.3. В подпункте 1.4:</w:t>
      </w:r>
    </w:p>
    <w:p w14:paraId="2A9B07DE"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четырнадцатым следующего содержания:</w:t>
      </w:r>
    </w:p>
    <w:p w14:paraId="70949BFB"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клиенту брокера — резиденту, в пользу которого они были ранее зачислены на специальный брокерский счет типа „С“,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со специального брокерского счета типа „С“ по указанным в настоящем абзаце основаниям допускается при условии предоставления брокеру таким клиентом либо депозитарием, осуществившим перечисление указанных выплат, а брокером — кредитной организации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3EB8B16C"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абзацы четырнадцатый и пятнадцатый считать соответственно абзацами пятнадцатым и шестнадцатым.</w:t>
      </w:r>
    </w:p>
    <w:p w14:paraId="6A1565EE"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1.4. В подпункте 1.7:</w:t>
      </w:r>
    </w:p>
    <w:p w14:paraId="22D2A3F2"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дополнить новым абзацем пятнадцатым следующего содержания:</w:t>
      </w:r>
    </w:p>
    <w:p w14:paraId="39FD44D5"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«перечисления денежных средств в размере выплат по ценным бумагам учредителю доверительного управления — резиденту, в пользу которого они были ранее зачислены на банковский счет доверительного управления типа „С“, при условии, что на дату такого перечисления среди учредителей доверительного управления, денежные средства которых учитываются на этом банковском счете, отсутствуют иностранные кредиторы, названные в пункте 1 Указа № 95, в случае если после 1 марта 2022 года иностранные кредиторы, названные в пункте 1 Указа № 95, не являлись владельцами ценных бумаг (лицами, осуществляющими права по ценным бумагам), по которым были зачислены выплаты, или в случае если после 1 марта 2022 года сделки (операции) с такими ценными бумагами были совершены в соответствии с разрешениями, предусмотренными Указами Президента Российской Федерации. Списание денежных средств с банковского счета доверительного управления типа „С“ по указанным в настоящем абзаце основаниям допускается при условии предоставления кредитной организации доверительным управляющим либо депозитарием, осуществившим перечисление указанных выплат, документов (сведений) и письменного подтверждения этого депозитария (если оно запрошено кредитной организацией), на основании которых может быть установлено наличие соответствующего основания;»;</w:t>
      </w:r>
    </w:p>
    <w:p w14:paraId="5F37C46B" w14:textId="77777777" w:rsidR="00BF792C" w:rsidRP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абзац пятнадцатый считать абзацем шестнадцатым.</w:t>
      </w:r>
    </w:p>
    <w:p w14:paraId="0DADB550" w14:textId="77777777" w:rsidR="00BF792C" w:rsidRDefault="00BF792C" w:rsidP="00BF792C">
      <w:pPr>
        <w:shd w:val="clear" w:color="auto" w:fill="C9C9FF"/>
        <w:jc w:val="both"/>
        <w:rPr>
          <w:rFonts w:ascii="Times New Roman" w:hAnsi="Times New Roman" w:cs="Times New Roman"/>
          <w:sz w:val="24"/>
          <w:szCs w:val="24"/>
        </w:rPr>
      </w:pPr>
      <w:r w:rsidRPr="00BF792C">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2A9B72BD" w14:textId="5C118205" w:rsidR="00FC383E" w:rsidRPr="00BF792C" w:rsidRDefault="00FC383E" w:rsidP="00BF792C">
      <w:pPr>
        <w:shd w:val="clear" w:color="auto" w:fill="C9C9FF"/>
        <w:jc w:val="both"/>
        <w:rPr>
          <w:rFonts w:ascii="Times New Roman" w:hAnsi="Times New Roman" w:cs="Times New Roman"/>
          <w:b/>
          <w:sz w:val="24"/>
          <w:szCs w:val="24"/>
        </w:rPr>
      </w:pPr>
      <w:r w:rsidRPr="00BF792C">
        <w:rPr>
          <w:rFonts w:ascii="Times New Roman" w:hAnsi="Times New Roman" w:cs="Times New Roman"/>
          <w:b/>
          <w:sz w:val="24"/>
          <w:szCs w:val="24"/>
        </w:rPr>
        <w:t>РЕШЕНИЕ СОВЕТА ДИРЕКТОРОВ БАНКА РОССИИ О ВНЕСЕНИИ ИЗМЕНЕНИЙ В РЕШЕНИЕ СОВЕТА ДИРЕКТОРОВ БАНКА РОССИИ ОТ 21 НОЯБРЯ 2022 ГОДА (В ЧАСТИ ИЗМЕНЕНИЯ РЕЖИМА СЧЕТОВ ТИПА «С»)</w:t>
      </w:r>
    </w:p>
    <w:p w14:paraId="47C11B23" w14:textId="6F180EE6" w:rsidR="00FC383E" w:rsidRPr="00BF792C" w:rsidRDefault="00FC383E" w:rsidP="00FC383E">
      <w:pPr>
        <w:shd w:val="clear" w:color="auto" w:fill="C9C9FF"/>
        <w:jc w:val="both"/>
        <w:rPr>
          <w:rFonts w:ascii="Times New Roman" w:hAnsi="Times New Roman" w:cs="Times New Roman"/>
          <w:b/>
          <w:sz w:val="24"/>
          <w:szCs w:val="24"/>
        </w:rPr>
      </w:pPr>
      <w:r w:rsidRPr="00BF792C">
        <w:rPr>
          <w:rFonts w:ascii="Times New Roman" w:hAnsi="Times New Roman" w:cs="Times New Roman"/>
          <w:b/>
          <w:sz w:val="24"/>
          <w:szCs w:val="24"/>
        </w:rPr>
        <w:t>От 29.03.2024</w:t>
      </w:r>
    </w:p>
    <w:p w14:paraId="501D100D"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 xml:space="preserve">Совет директоров Банка России 28.03.2024 принял решение внести </w:t>
      </w:r>
      <w:hyperlink r:id="rId18" w:history="1">
        <w:r w:rsidRPr="00FC383E">
          <w:rPr>
            <w:rFonts w:ascii="Times New Roman" w:hAnsi="Times New Roman" w:cs="Times New Roman"/>
            <w:sz w:val="24"/>
            <w:szCs w:val="24"/>
          </w:rPr>
          <w:t>в пункт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w:t>
        </w:r>
      </w:hyperlink>
      <w:r w:rsidRPr="00FC383E">
        <w:rPr>
          <w:rFonts w:ascii="Times New Roman" w:hAnsi="Times New Roman" w:cs="Times New Roman"/>
          <w:sz w:val="24"/>
          <w:szCs w:val="24"/>
        </w:rPr>
        <w:t xml:space="preserve"> следующие изменения:</w:t>
      </w:r>
    </w:p>
    <w:p w14:paraId="05FDA46F"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1.1. В абзаце первом слова «клирингового банковского счета типа „С“ для учета денежных средств нерезидентов в валюте Российской Федерации, торгового банковского счета типа „С“ для учета денежных средств нерезидентов в валюте Российской Федерации,» исключить.</w:t>
      </w:r>
    </w:p>
    <w:p w14:paraId="6E99E46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1.2. В подпункте 1.1:</w:t>
      </w:r>
    </w:p>
    <w:p w14:paraId="20DC387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шестой изложить в следующей редакции:</w:t>
      </w:r>
    </w:p>
    <w:p w14:paraId="3B6EAFD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с банковских счетов типа „С“, открытых тому же нерезиденту, переводы денежных средств того же нерезидента с брокерских счетов типа „С“, специальных брокерских счетов типа „С“, банковских счетов доверительного управления типа „С“;»</w:t>
      </w:r>
    </w:p>
    <w:p w14:paraId="205D25C0"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двенадцатый после слов «счета типа «С» дополнить словами «, открытые тому же нерезиденту»;</w:t>
      </w:r>
    </w:p>
    <w:p w14:paraId="307DEB4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четырнадцатый изложить в следующей редакции:</w:t>
      </w:r>
    </w:p>
    <w:p w14:paraId="69B7C2E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нерезидента, переводов на банковские счета доверительного управления типа „С“ в целях учета денежных средств того же нерезидента;».</w:t>
      </w:r>
    </w:p>
    <w:p w14:paraId="49BE10E2"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1.3. В подпункте 1.2:</w:t>
      </w:r>
    </w:p>
    <w:p w14:paraId="1B9A81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абзацы третий, четвертый, пятнадцатый и шестнадцатый дополнить словами «, если операция осуществляется без перехода прав на ценные бумаги»;</w:t>
      </w:r>
    </w:p>
    <w:p w14:paraId="1169A538"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в абзаце двадцать первом слова «с разрешением, предусмотренным подпунктом „б“ и „г“ пункта 1 Указа Президента Российской Федерации от 1 марта 2022 года № 81 „О дополнительных временных мерах экономического характера по обеспечению финансовой стабильности Российской Федерации“ или пунктом 11 Указа № 95» заменить словами «с разрешениями, выдаваемыми на основании указов Президента Российской Федерации»;</w:t>
      </w:r>
    </w:p>
    <w:p w14:paraId="1CF40D6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в абзаце тридцать первом слова «с разрешением, предусмотренным пунктом 1 Указа Президента Российской Федерации от 1 марта 2022 года № 81 „О дополнительных временных мерах экономического характера по обеспечению финансовой стабильности Российской Федерации“ или пунктом 11 Указа № 95» заменить словами «с разрешениями, выдаваемыми на основании указов Президента Российской Федерации».</w:t>
      </w:r>
    </w:p>
    <w:p w14:paraId="59B28A12"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1.4. В подпункте 1.3:</w:t>
      </w:r>
    </w:p>
    <w:p w14:paraId="3167BF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четвертый изложить в следующей редакции:</w:t>
      </w:r>
    </w:p>
    <w:p w14:paraId="741A9411"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в целях учета денежных средств клиента — нерезидента с открытых тому же нерезиденту банковских счетов типа „С“, переводы денежных средств того же лица с брокерских счетов типа „С“, специальных брокерских счетов типа „С“, переводы денежных средств того же лица с банковских счетов доверительного управления типа „С“;»;</w:t>
      </w:r>
    </w:p>
    <w:p w14:paraId="3AAF51A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восьмой изложить в следующей редакции:</w:t>
      </w:r>
    </w:p>
    <w:p w14:paraId="72DC48B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07DE4E2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девятый изложить в следующей редакции:</w:t>
      </w:r>
    </w:p>
    <w:p w14:paraId="7669E9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клиента — нерезидента на открытые тому же нерезиденту банковские счета типа „С“;»;</w:t>
      </w:r>
    </w:p>
    <w:p w14:paraId="582001E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5EF5E02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лица, переводов денежных средств на банковские счета доверительного управления типа „С“ в целях учета денежных средств того же лица;».</w:t>
      </w:r>
    </w:p>
    <w:p w14:paraId="19A4D47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1.5. В подпункте 1.4:</w:t>
      </w:r>
    </w:p>
    <w:p w14:paraId="6378B2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четвертый изложить в следующей редакции:</w:t>
      </w:r>
    </w:p>
    <w:p w14:paraId="28679236"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в целях учета брокером денежных средств клиента — нерезидента с открытых тому же нерезиденту банковских счетов типа „С“, переводы денежных средств того же лица с брокерских счетов типа „С“, специальных брокерских счетов типа „С“, переводы денежных средств на банковские счета доверительного управления типа „С“ в целях учета денежных средств того же лица;»;</w:t>
      </w:r>
    </w:p>
    <w:p w14:paraId="2860EF2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восьмой изложить в следующей редакции:</w:t>
      </w:r>
    </w:p>
    <w:p w14:paraId="29C41E6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63CE86AB"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девятый изложить в следующей редакции:</w:t>
      </w:r>
    </w:p>
    <w:p w14:paraId="05112BA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клиента — нерезидента на открытые тому же нерезиденту банковские счета типа „С“;»;</w:t>
      </w:r>
    </w:p>
    <w:p w14:paraId="7EC3B3B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34D1CFA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лица, на банковские счета доверительного управления типа „С“ в целях учета доверительным управляющим денежных средств того же лица;».</w:t>
      </w:r>
    </w:p>
    <w:p w14:paraId="70188D7D"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1.6. Подпункты 1.5 и 1.6 исключить.</w:t>
      </w:r>
    </w:p>
    <w:p w14:paraId="78F8E15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1.7. В подпункте 1.7:</w:t>
      </w:r>
    </w:p>
    <w:p w14:paraId="7EEA3E17"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пятый изложить в следующей редакции:</w:t>
      </w:r>
    </w:p>
    <w:p w14:paraId="7B5CF70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«переводы с банковских счетов типа „С“, открытых учредителю доверительного управления — нерезиденту, переводы учитываемых на брокерских счетах типа „С“, специальных брокерских счетах типа „С“ денежных средств учредителя доверительного управления, переводы с банковских счетов доверительного управления типа „С“ денежных средств того же учредителя доверительного управления;»;</w:t>
      </w:r>
    </w:p>
    <w:p w14:paraId="387EDA49"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десятый изложить в следующей редакции:</w:t>
      </w:r>
    </w:p>
    <w:p w14:paraId="7588E248"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приобретение в соответствии с разрешениями, выданными на основании указов Президента Российской Федерации, корпоративных ценных бумаг российских эмитентов, которые публично размещаются (обращаются) на организованных торгах;»;</w:t>
      </w:r>
    </w:p>
    <w:p w14:paraId="1F5DD41A"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одиннадцатый изложить в следующей редакции:</w:t>
      </w:r>
    </w:p>
    <w:p w14:paraId="6D9EAB4E"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денежных средств учредителя доверительного управления — нерезидента на открытые тому же нерезиденту банковские счета типа „С“;»;</w:t>
      </w:r>
    </w:p>
    <w:p w14:paraId="7B1EC29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абзац двенадцатый изложить в следующей редакции:</w:t>
      </w:r>
    </w:p>
    <w:p w14:paraId="661B6953"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«переводов на брокерские счета типа „С“ и специальные брокерские счета типа „С“ в целях учета брокером денежных средств того же лица, переводов на счета доверительного управления типа „С“ в целях учета денежных средств того же учредителя доверительного управления;».</w:t>
      </w:r>
    </w:p>
    <w:p w14:paraId="44A492F5" w14:textId="77777777" w:rsidR="00FC383E" w:rsidRP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Операции, предусмотренные абзацем восьмым подпункта 1.3, абзацем восьмым подпункта 1.4, абзацем десятым подпункта 1.7 пункта 1 решения Совета директоров Банка России от 21 ноября 2022 года «Об установлении режима счетов типа „С“ для проведения расчетов и осуществления (исполнения) сделок (операций), на которые распространяется порядок исполнения обязательств, предусмотренный Указом Президента Российской Федерации от 5 марта 2022 года № 95 «О временном порядке исполнения обязательств перед некоторыми иностранными кредиторами» (в редакции настоящего решения), совершаются на основании указанных в названных абзацах разрешений, выданных до даты опубликования настоящего решения на официальном сайте Банка России в информационно-телекоммуникационной сети «Интернет» (включительно).</w:t>
      </w:r>
    </w:p>
    <w:p w14:paraId="78A699DE" w14:textId="77777777" w:rsidR="00FC383E" w:rsidRDefault="00FC383E" w:rsidP="00FC383E">
      <w:pPr>
        <w:shd w:val="clear" w:color="auto" w:fill="C9C9FF"/>
        <w:jc w:val="both"/>
        <w:rPr>
          <w:rFonts w:ascii="Times New Roman" w:hAnsi="Times New Roman" w:cs="Times New Roman"/>
          <w:sz w:val="24"/>
          <w:szCs w:val="24"/>
        </w:rPr>
      </w:pPr>
      <w:r w:rsidRPr="00FC383E">
        <w:rPr>
          <w:rFonts w:ascii="Times New Roman" w:hAnsi="Times New Roman" w:cs="Times New Roman"/>
          <w:sz w:val="24"/>
          <w:szCs w:val="24"/>
        </w:rPr>
        <w:t>Решение Совета директоров Банка России о внесении изменений в решение Совета директоров Банка России от 21 ноября 2022 года применяется с даты его опубликования на официальном сайте Банка России в информационно-телекоммуникационной сети «Интернет».</w:t>
      </w:r>
    </w:p>
    <w:p w14:paraId="23CE8C03" w14:textId="77777777" w:rsidR="008E05BD" w:rsidRDefault="008E05BD" w:rsidP="00D2036D"/>
    <w:p w14:paraId="1B43DF5B" w14:textId="77777777" w:rsidR="00037D32" w:rsidRPr="00D2036D" w:rsidRDefault="00037D32" w:rsidP="00D2036D"/>
    <w:p w14:paraId="56EF9399" w14:textId="7A291810" w:rsidR="004D0B74" w:rsidRPr="00D71898" w:rsidRDefault="004D0B74" w:rsidP="004D0B74">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ПРОДЛЕНЫ ОГРАНИЧЕНИЯ НА ПЕРЕВОДЫ ЗА РУБЕЖ СРЕДСТВ НЕРЕЗИДЕНТОВ ИЗ НЕДРУЖЕСТВЕННЫХ СТРАН СО СЧЕТОВ БРОКЕРОВ И ДОВЕРИТЕЛЬНЫХ УПРАВЛЯЮЩИХ</w:t>
      </w:r>
    </w:p>
    <w:p w14:paraId="297F93A5" w14:textId="77777777" w:rsidR="004D0B74" w:rsidRPr="00D71898" w:rsidRDefault="004D0B74" w:rsidP="004D0B74">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27.03.2024</w:t>
      </w:r>
    </w:p>
    <w:p w14:paraId="457867CF" w14:textId="3832DF0C"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Такие операции Банк России с 1 апреля 2024 года приостанавливает еще на 6 месяцев.</w:t>
      </w:r>
    </w:p>
    <w:p w14:paraId="37334638" w14:textId="77777777"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Ограничения касаются переводов со счетов, как физических, так и юридических лиц, открытых у российских брокеров и доверительных управляющих. Они были введены с 1 апреля 2022 года.</w:t>
      </w:r>
    </w:p>
    <w:p w14:paraId="451999E6" w14:textId="77777777" w:rsidR="004D0B74" w:rsidRPr="004D0B74" w:rsidRDefault="004D0B74" w:rsidP="004D0B74">
      <w:pPr>
        <w:shd w:val="clear" w:color="auto" w:fill="C9C9FF"/>
        <w:jc w:val="both"/>
        <w:rPr>
          <w:rFonts w:ascii="Times New Roman" w:hAnsi="Times New Roman" w:cs="Times New Roman"/>
          <w:sz w:val="24"/>
          <w:szCs w:val="24"/>
        </w:rPr>
      </w:pPr>
      <w:r w:rsidRPr="004D0B74">
        <w:rPr>
          <w:rFonts w:ascii="Times New Roman" w:hAnsi="Times New Roman" w:cs="Times New Roman"/>
          <w:sz w:val="24"/>
          <w:szCs w:val="24"/>
        </w:rPr>
        <w:t>Решение принято для поддержания финансовой стабильности.</w:t>
      </w:r>
    </w:p>
    <w:p w14:paraId="0231F84E" w14:textId="77777777" w:rsidR="004D0B74" w:rsidRPr="00D2036D" w:rsidRDefault="004D0B74" w:rsidP="00D2036D"/>
    <w:p w14:paraId="1118C63C" w14:textId="47792E1D" w:rsidR="0086366A" w:rsidRPr="00D71898" w:rsidRDefault="0086366A"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СМЯГЧЕНЫ ПРАВИЛА ВАЛЮТНОГО КОНТРОЛЯ ПО ВНЕШНЕТОРГОВЫМ КОНТРАКТАМ</w:t>
      </w:r>
    </w:p>
    <w:p w14:paraId="6931D037" w14:textId="1CADA1A3" w:rsidR="0086366A" w:rsidRPr="00D71898" w:rsidRDefault="0086366A"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27.03.2024</w:t>
      </w:r>
    </w:p>
    <w:p w14:paraId="02803126"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Российские компании — участники внешнеторговой деятельности могут теперь не представлять в банк документы по сделкам с зарубежными партнерами, если объем такой сделки не превышает 1 млн рублей. Раньше этот порог составлял 600 тыс. рублей.</w:t>
      </w:r>
    </w:p>
    <w:p w14:paraId="7F8CBAC5"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Такие изменения предусмотрены указанием Банка России, они вступают в силу с 1 апреля 2024 года.</w:t>
      </w:r>
    </w:p>
    <w:p w14:paraId="1847C80B"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Отменяется также обязанность бизнеса направлять в уполномоченные банки перевозочные, товаросопроводительные и другие документы, которые подтверждают перемещение товара внутри ЕАЭС. Такой информацией Федеральная таможенная служба будет обмениваться с банками самостоятельно в электронном виде.</w:t>
      </w:r>
    </w:p>
    <w:p w14:paraId="58CE6246"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Кроме того, закрепляется право компаний рассчитываться по поставленному на учет внешнеторговому контракту через любой уполномоченный банк, а не только через тот, в котором они стоят на учете.</w:t>
      </w:r>
    </w:p>
    <w:p w14:paraId="41BC9371" w14:textId="77777777" w:rsidR="0086366A" w:rsidRPr="0086366A" w:rsidRDefault="0086366A" w:rsidP="0086366A">
      <w:pPr>
        <w:shd w:val="clear" w:color="auto" w:fill="C9C9FF"/>
        <w:jc w:val="both"/>
        <w:rPr>
          <w:rFonts w:ascii="Times New Roman" w:hAnsi="Times New Roman" w:cs="Times New Roman"/>
          <w:sz w:val="24"/>
          <w:szCs w:val="24"/>
        </w:rPr>
      </w:pPr>
      <w:r w:rsidRPr="0086366A">
        <w:rPr>
          <w:rFonts w:ascii="Times New Roman" w:hAnsi="Times New Roman" w:cs="Times New Roman"/>
          <w:sz w:val="24"/>
          <w:szCs w:val="24"/>
        </w:rPr>
        <w:t>Указание определяет особенности предоставления в банк документов по сделкам с зарубежными контрагентами в наличных деньгах и формирование отчетности по таким операциям. Расширен состав информации, отражаемой в ведомости банковского контроля. Это сделано для более эффективного мониторинга и учета валютных операций.</w:t>
      </w:r>
    </w:p>
    <w:p w14:paraId="651D0A64" w14:textId="77777777" w:rsidR="0086366A" w:rsidRPr="00D2036D" w:rsidRDefault="0086366A" w:rsidP="00D2036D"/>
    <w:p w14:paraId="01B8DFF7" w14:textId="7A713C23" w:rsidR="005006EF" w:rsidRPr="00D71898" w:rsidRDefault="005006EF" w:rsidP="0086366A">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 xml:space="preserve">БАНК РОССИИ РАСШИРЯЕТ МОНИТОРИНГ КРУПНЕЙШИХ ЭКСПОРТЕРОВ </w:t>
      </w:r>
    </w:p>
    <w:p w14:paraId="2C74BBEE" w14:textId="07910AD5" w:rsidR="005006EF" w:rsidRDefault="005006EF" w:rsidP="005006EF">
      <w:pPr>
        <w:shd w:val="clear" w:color="auto" w:fill="C9C9FF"/>
        <w:jc w:val="both"/>
        <w:rPr>
          <w:rFonts w:ascii="Times New Roman" w:hAnsi="Times New Roman" w:cs="Times New Roman"/>
          <w:b/>
          <w:sz w:val="24"/>
          <w:szCs w:val="24"/>
        </w:rPr>
      </w:pPr>
      <w:r w:rsidRPr="00D71898">
        <w:rPr>
          <w:rFonts w:ascii="Times New Roman" w:hAnsi="Times New Roman" w:cs="Times New Roman"/>
          <w:b/>
          <w:sz w:val="24"/>
          <w:szCs w:val="24"/>
        </w:rPr>
        <w:t>от 15.03.2024</w:t>
      </w:r>
    </w:p>
    <w:p w14:paraId="60013744" w14:textId="77777777" w:rsidR="0086366A"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В перечень крупнейших экспортеров, предоставляющих информацию о своих активах и обязательствах в Банк России, теперь включаются компании, у которых в 2023 году экспортная выручка или среднемесячная задолженность по обязательствам перед нерезидентами превысила 1 млрд долларов США. Передавать данные регулятору будут и те экспортеры, дочерние компании которых соответствуют этим показателям. В результате список увеличивается примерно вдвое.</w:t>
      </w:r>
    </w:p>
    <w:p w14:paraId="4F0B676F" w14:textId="77777777" w:rsidR="0086366A"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Банк России в ближайшее время в индивидуальном порядке уведомит компании о необходимости направлять информацию. Перечень экспортеров не подлежит публикации.</w:t>
      </w:r>
    </w:p>
    <w:p w14:paraId="269A5DB3" w14:textId="038BE28F" w:rsidR="005006EF" w:rsidRP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Также определены состав, форма, сроки и порядок предоставления данных. В частности, компании должны будут направлять информацию не только об активах и обязательствах в иностранной валюте, но и об остатках на рублевых счетах в иностранных банках, а также о задолженности в рублях перед нерезидентами.</w:t>
      </w:r>
    </w:p>
    <w:p w14:paraId="4EC70B5E" w14:textId="77777777" w:rsid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Компании будут обязаны предоставлять информацию на консолидированной основе, в том числе по дочерним организациям, поэтому сроки передачи данных увеличены.</w:t>
      </w:r>
    </w:p>
    <w:p w14:paraId="5EC8CD0A" w14:textId="450BE805" w:rsidR="005006EF" w:rsidRPr="005006EF" w:rsidRDefault="005006EF" w:rsidP="005006EF">
      <w:pPr>
        <w:shd w:val="clear" w:color="auto" w:fill="C9C9FF"/>
        <w:jc w:val="both"/>
        <w:rPr>
          <w:rFonts w:ascii="Times New Roman" w:hAnsi="Times New Roman" w:cs="Times New Roman"/>
          <w:sz w:val="24"/>
          <w:szCs w:val="24"/>
        </w:rPr>
      </w:pPr>
      <w:r w:rsidRPr="005006EF">
        <w:rPr>
          <w:rFonts w:ascii="Times New Roman" w:hAnsi="Times New Roman" w:cs="Times New Roman"/>
          <w:sz w:val="24"/>
          <w:szCs w:val="24"/>
        </w:rPr>
        <w:t>Новые нормативные акты Банка России приняты в связи с внесением изменений в Федеральный закон «О валютном регулировании и валютном контроле» и вступают в силу с 15 марта.</w:t>
      </w:r>
    </w:p>
    <w:p w14:paraId="521F5879" w14:textId="77777777" w:rsidR="008579F7" w:rsidRPr="00D2036D" w:rsidRDefault="008579F7" w:rsidP="00D2036D"/>
    <w:p w14:paraId="20C9BAE2" w14:textId="684A381D" w:rsidR="008579F7" w:rsidRPr="008579F7" w:rsidRDefault="008579F7" w:rsidP="008579F7">
      <w:pPr>
        <w:shd w:val="clear" w:color="auto" w:fill="C9C9FF"/>
        <w:jc w:val="both"/>
        <w:rPr>
          <w:rFonts w:ascii="Times New Roman" w:hAnsi="Times New Roman" w:cs="Times New Roman"/>
          <w:b/>
          <w:sz w:val="24"/>
          <w:szCs w:val="24"/>
        </w:rPr>
      </w:pPr>
      <w:r w:rsidRPr="00342744">
        <w:rPr>
          <w:rFonts w:ascii="Times New Roman" w:hAnsi="Times New Roman" w:cs="Times New Roman"/>
          <w:b/>
          <w:sz w:val="24"/>
          <w:szCs w:val="24"/>
        </w:rPr>
        <w:t>БАНК РОССИИ ПРЕДУПРЕЖДАЕТ О МОШЕННИЧЕСКИХ СХЕМАХ ПО РАЗБЛОКИРОВКЕ АКТИВОВ</w:t>
      </w:r>
      <w:r w:rsidRPr="008579F7">
        <w:rPr>
          <w:rFonts w:ascii="Times New Roman" w:hAnsi="Times New Roman" w:cs="Times New Roman"/>
          <w:b/>
          <w:sz w:val="24"/>
          <w:szCs w:val="24"/>
        </w:rPr>
        <w:t xml:space="preserve"> </w:t>
      </w:r>
    </w:p>
    <w:p w14:paraId="761327FF" w14:textId="4A7BC5C9" w:rsidR="008579F7" w:rsidRPr="008579F7" w:rsidRDefault="008579F7" w:rsidP="008579F7">
      <w:pPr>
        <w:shd w:val="clear" w:color="auto" w:fill="C9C9FF"/>
        <w:jc w:val="both"/>
        <w:rPr>
          <w:rFonts w:ascii="Times New Roman" w:hAnsi="Times New Roman" w:cs="Times New Roman"/>
          <w:b/>
          <w:sz w:val="24"/>
          <w:szCs w:val="24"/>
        </w:rPr>
      </w:pPr>
      <w:r w:rsidRPr="008579F7">
        <w:rPr>
          <w:rFonts w:ascii="Times New Roman" w:hAnsi="Times New Roman" w:cs="Times New Roman"/>
          <w:b/>
          <w:sz w:val="24"/>
          <w:szCs w:val="24"/>
        </w:rPr>
        <w:t>от 10.01.2024</w:t>
      </w:r>
    </w:p>
    <w:p w14:paraId="6BAA60E9"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Мошенники предлагают гражданам решить вопросы с их активами, заблокированными иностранными учетными институтами. Такие объявления массово распространяются в Интернете, в социальных сетях и мессенджерах, а также рассылаются по электронным адресам пользователей, выявил Банк России.</w:t>
      </w:r>
    </w:p>
    <w:p w14:paraId="418686B8"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Для разблокировки требуется перевести на счет компании, которая предлагает такие услуги, сумму, равную стоимости замороженных активов. Людям обещают, что они вернут эти деньги на свой банковский счет в двойном размере.</w:t>
      </w:r>
    </w:p>
    <w:p w14:paraId="35264FD9"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Аферисты могут выдавать себя за финансовую организацию, но при этом не иметь лицензии Банка России.</w:t>
      </w:r>
    </w:p>
    <w:p w14:paraId="2B67205F" w14:textId="777777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Регулятор вносит информацию о нелегальных компаниях в Список компаний с выявленными признаками нелегальной деятельности на финансовом рынке. Их сайты подлежат блокировке.</w:t>
      </w:r>
    </w:p>
    <w:p w14:paraId="1791FB97" w14:textId="0FE18B77" w:rsidR="008579F7" w:rsidRPr="008579F7" w:rsidRDefault="008579F7" w:rsidP="008579F7">
      <w:pPr>
        <w:shd w:val="clear" w:color="auto" w:fill="C9C9FF"/>
        <w:jc w:val="both"/>
        <w:rPr>
          <w:rFonts w:ascii="Times New Roman" w:hAnsi="Times New Roman" w:cs="Times New Roman"/>
          <w:sz w:val="24"/>
          <w:szCs w:val="24"/>
        </w:rPr>
      </w:pPr>
      <w:r w:rsidRPr="008579F7">
        <w:rPr>
          <w:rFonts w:ascii="Times New Roman" w:hAnsi="Times New Roman" w:cs="Times New Roman"/>
          <w:sz w:val="24"/>
          <w:szCs w:val="24"/>
        </w:rPr>
        <w:t>Инвесторам рекомендуется быть осмотрительными, проверять легальность компании на сайте Банка России, а также не переводить деньги и не предоставлять персональные данные организациям, деятельность которых вызывает сомнения.</w:t>
      </w:r>
    </w:p>
    <w:p w14:paraId="5AB010C5" w14:textId="77777777" w:rsidR="008579F7" w:rsidRPr="00D2036D" w:rsidRDefault="008579F7" w:rsidP="00D2036D"/>
    <w:p w14:paraId="2E1512C1" w14:textId="2BE19170" w:rsidR="00606193" w:rsidRPr="008A1704" w:rsidRDefault="00606193" w:rsidP="00606193">
      <w:pPr>
        <w:shd w:val="clear" w:color="auto" w:fill="C9C9FF"/>
        <w:jc w:val="both"/>
        <w:rPr>
          <w:rFonts w:ascii="Times New Roman" w:hAnsi="Times New Roman" w:cs="Times New Roman"/>
          <w:b/>
          <w:sz w:val="24"/>
          <w:szCs w:val="24"/>
        </w:rPr>
      </w:pPr>
      <w:r w:rsidRPr="008A1704">
        <w:rPr>
          <w:rFonts w:ascii="Times New Roman" w:hAnsi="Times New Roman" w:cs="Times New Roman"/>
          <w:b/>
          <w:sz w:val="24"/>
          <w:szCs w:val="24"/>
        </w:rPr>
        <w:t xml:space="preserve">У ИНВЕСТОРОВ ПОЯВИТСЯ ВОЗМОЖНОСТЬ ПРОДАТЬ ЗАБЛОКИРОВАННЫЕ ИНОСТРАННЫЕ АКТИВЫ НЕРЕЗИДЕНТАМ </w:t>
      </w:r>
    </w:p>
    <w:p w14:paraId="5C070CB9" w14:textId="77777777" w:rsidR="008579F7" w:rsidRDefault="00606193" w:rsidP="00606193">
      <w:pPr>
        <w:shd w:val="clear" w:color="auto" w:fill="C9C9FF"/>
        <w:jc w:val="both"/>
        <w:rPr>
          <w:rFonts w:ascii="Times New Roman" w:hAnsi="Times New Roman" w:cs="Times New Roman"/>
          <w:b/>
          <w:sz w:val="24"/>
          <w:szCs w:val="24"/>
        </w:rPr>
      </w:pPr>
      <w:r w:rsidRPr="008A1704">
        <w:rPr>
          <w:rFonts w:ascii="Times New Roman" w:hAnsi="Times New Roman" w:cs="Times New Roman"/>
          <w:b/>
          <w:sz w:val="24"/>
          <w:szCs w:val="24"/>
        </w:rPr>
        <w:t>от 11.12.2023</w:t>
      </w:r>
    </w:p>
    <w:p w14:paraId="6C49B04B" w14:textId="77777777" w:rsidR="004C456E"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определил порядок взаимодействия участников финансового рынка, который даст возможность российским инвесторам продать заблокированные иностранные ценные бумаги нерезидентам за их «С»-деньги. Продаже подлежат бумаги, учитываемые в Национальном расчетном депозитарии.</w:t>
      </w:r>
    </w:p>
    <w:p w14:paraId="33228405" w14:textId="61FD2188"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Торги могут быть запущены после того, как Правительственная комиссия утвердит правила и условия их проведения. После объявления старта брокеры, доверительные управляющие, управляющие компании ПИФ будут обязаны проинформировать своих клиентов о начале торгов. Участие в них добровольное.</w:t>
      </w:r>
    </w:p>
    <w:p w14:paraId="12880A21" w14:textId="77777777"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Каждый инвестор может подать заявки на общую сумму не более 100 тыс. рублей. Порядок расчета стоимости бумаг, выставляемых на продажу, также установит Правительственная комиссия. Такие ценные бумаги будут обособлены на счетах в депозитариях до завершения торгов.</w:t>
      </w:r>
    </w:p>
    <w:p w14:paraId="7F8B252B" w14:textId="77777777" w:rsidR="00606193"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 итогам проведения торгов денежные средства за проданные ценные бумаги поступят на указанные российскими инвесторами счета. Ограничения на распоряжение вырученными от продажи ценных бумаг деньгами устанавливаться не будут.</w:t>
      </w:r>
    </w:p>
    <w:p w14:paraId="300F46B6" w14:textId="4D8AEAB6" w:rsidR="00791546" w:rsidRPr="00F10141" w:rsidRDefault="00606193" w:rsidP="00606193">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Нерезиденты, желающие принять участие в торгах, также должны подать заявку на покупку заблокированных ценных бумаг. Приобретенные ими активы зачислят на специальные транзитные счета депо, которые будут открыты по итогам торгов. Для оплаты активов иностранцы смогут использовать средства со счетов типа «С». Режим таких счетов определен решением Совета директоров Банка России.</w:t>
      </w:r>
    </w:p>
    <w:p w14:paraId="655B2DDE" w14:textId="77777777" w:rsidR="00606193" w:rsidRPr="00D2036D" w:rsidRDefault="00606193" w:rsidP="00D2036D"/>
    <w:p w14:paraId="4DCE9DE3" w14:textId="75FB911C" w:rsidR="00AD18BD" w:rsidRPr="00F10141" w:rsidRDefault="00AD18BD" w:rsidP="00AD18BD">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У ИНВЕСТОРОВ ПОЯВИТСЯ ВОЗМОЖНОСТЬ ПОЛУЧИТЬ ВЫПЛАТЫ ПО БЕЛОРУССКИМ ЕВРООБЛИГАЦИЯМ ЧЕРЕЗ РОССИЙСКУЮ ИНФРАСТРУКТУРУ</w:t>
      </w:r>
    </w:p>
    <w:p w14:paraId="120E4639" w14:textId="74167A8F" w:rsidR="002C4FB6" w:rsidRPr="00F10141" w:rsidRDefault="002C4FB6" w:rsidP="00AD18BD">
      <w:pPr>
        <w:shd w:val="clear" w:color="auto" w:fill="C9C9FF"/>
        <w:jc w:val="both"/>
        <w:rPr>
          <w:rFonts w:ascii="Times New Roman" w:hAnsi="Times New Roman" w:cs="Times New Roman"/>
          <w:sz w:val="24"/>
          <w:szCs w:val="24"/>
        </w:rPr>
      </w:pPr>
      <w:r w:rsidRPr="00F10141">
        <w:rPr>
          <w:rFonts w:ascii="Times New Roman" w:hAnsi="Times New Roman" w:cs="Times New Roman"/>
          <w:b/>
          <w:sz w:val="24"/>
          <w:szCs w:val="24"/>
        </w:rPr>
        <w:t>от 24.11.2023</w:t>
      </w:r>
    </w:p>
    <w:p w14:paraId="3A7546A6" w14:textId="77777777" w:rsidR="00AD18BD" w:rsidRPr="00F10141"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разработал механизм, который позволит российским инвесторам получить доход по еврооблигациям Республики Беларусь (ISIN XS1634369067 или US07737JAB98). Выплаты будут проходить в белорусских рублях, минуя зарубежные институты.</w:t>
      </w:r>
    </w:p>
    <w:p w14:paraId="4DDA470B" w14:textId="77777777" w:rsidR="00AD18BD" w:rsidRPr="00F10141"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НКО АО НРД для этого составит список владельцев погашаемых еврооблигаций и направит его в центральный депозитарий Республики Беларусь. Инвестору со своей стороны необходимо подать в этот депозитарий заявление, которое в том числе должно содержать отказ от претензий к эмитенту. Он может это сделать напрямую либо через российский депозитарий. Кроме того, держатель бумаги должен подтвердить свой дружественный статус и факт владения ценной бумагой до 6 сентября 2022 года и на дату ее погашения.</w:t>
      </w:r>
    </w:p>
    <w:p w14:paraId="70F63479" w14:textId="77777777" w:rsidR="00AD18BD" w:rsidRDefault="00AD18BD" w:rsidP="00AD18BD">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Это даст возможность Минфину Республики Беларусь после проверки документов направить денежные средства в НКО АО НРД для последующей передачи их инвесторам через цепочку российских депозитариев. Погашенные еврооблигации будут списаны со счетов владельцев и зачислены на счет Минфина Республики Беларусь, открытый в НКО АО НРД.</w:t>
      </w:r>
    </w:p>
    <w:p w14:paraId="15DC6A52" w14:textId="77777777" w:rsidR="00037D32" w:rsidRPr="00037D32" w:rsidRDefault="00037D32" w:rsidP="00037D32"/>
    <w:p w14:paraId="51E27E84" w14:textId="3047E771" w:rsidR="00B4133F" w:rsidRPr="00F10141" w:rsidRDefault="00B4133F" w:rsidP="00AD18BD">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РЕШЕНИЕ СОВЕТА ДИРЕКТОРОВ БАНКА РОССИИ О ФОРМИРОВАНИИ КРЕДИТНЫМИ ОРГАНИЗАЦИЯМИ РЕЗЕРВОВ НА ВОЗМОЖНЫЕ ПОТЕРИ ПО ССУДАМ, А ТАКЖЕ ТРЕБОВАНИЯМ И УСЛОВНЫМ ОБЯЗАТЕЛЬСТВАМ КРЕДИТНОГО ХАРАКТЕРА, ВОЗНИКАЮЩИМ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w:t>
      </w:r>
    </w:p>
    <w:p w14:paraId="7234A34B"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Совет директоров Банка России 13 октября 2023 года принял решение:</w:t>
      </w:r>
    </w:p>
    <w:p w14:paraId="314EC9F8"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 В соответствии с пунктом 2 статьи 20 Федерального закона от 8 марта 2022 года № 46-ФЗ «О внесении изменений в отдельные законодательные акты Российской Федерации» до 31 декабря 2023 года (включительно) в целях формирования кредитными организациями резервов на возможные потери по ссудам, а также требованиям и условным обязательствам кредитного характера, возникающим из кредитных договоров, заключенных с заемщиками — юридическими лицами (далее — заемщики)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при применении Положения Банка России от 28 июня 2017 года № 590-П «О порядке формирования кредитными организациями резервов на возможные потери по ссудам, ссудной и приравненной к ней задолженности» (далее — Положение Банка России № 590-П) и Положения Банка России от 23 октября 2017 года № 611-П «О порядке формирования кредитными организациями резервов на возможные потери» (далее — Положение Банка России № 611-П) установить следующее.</w:t>
      </w:r>
    </w:p>
    <w:p w14:paraId="4122A997"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1.1. При оценке ссуд, а также требований и условных обязательств кредитного характера, возникающих из кредитных договоров, предусматривающих предоставление кредита на пополнение оборотных средств,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расчетный резерв определяется в размере не менее 1 процента при соблюдении одного из следующих условий:</w:t>
      </w:r>
    </w:p>
    <w:p w14:paraId="3DFD14AB" w14:textId="77777777" w:rsidR="004C456E"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срок исполнения обязательств по кредитному договору не превышает шести месяцев, и заемщиком в соответствии с кредитным договором не реже, чем один раз в три месяца, осуществляются платежи по процентам по ставке в размере не менее двух пятых ключевой ставки Банка России или по ставкам в соответствии с программами государственной поддержки, предусматривающими, в том числе, компенсацию разницы между ставкой процента, установленной кредитным договором, на основании которого ссуда предоставлена, и ставкой процента, равной или выше двух пятых ключевой ставки Банка России;</w:t>
      </w:r>
    </w:p>
    <w:p w14:paraId="5CCC929C" w14:textId="310EC4DB"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срок исполнения обязательств по кредитному договору не превышает двенадцати месяцев, и заемщиком в соответствии с кредитным договором осуществляются равномерные, не реже, чем один раз в шесть месяцев, платежи по основному долгу, а также не реже, чем один раз в три месяца, платежи по процентам по ставке в размере не менее двух пятых ключевой ставки Банка России или по ставкам в соответствии с программами государственной поддержки, предусматривающими, в том числе, компенсацию разницы между ставкой процента, установленной кредитным договором, на основании которого ссуда предоставлена, и ставкой процента, равной или выше двух пятых ключевой ставки Банка России.</w:t>
      </w:r>
    </w:p>
    <w:p w14:paraId="2D536479"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Подход, предусмотренный абзацами первым — третьим настоящего подпункта, применяется:</w:t>
      </w:r>
    </w:p>
    <w:p w14:paraId="73425351"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в отношении заемщиков, зарегистрированных на территории Донецкой Народной Республики, Луганской Народной Республики, Запорожской области, Херсонской области, независимо от оценки финансового положения заемщика, осуществленной в соответствии с требованиями главы 3 Положения Банка России № 590-П (далее — оценка финансового положения),</w:t>
      </w:r>
    </w:p>
    <w:p w14:paraId="528330B4"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в отношении заемщиков, зарегистрированных за пределами территории Донецкой Народной Республики, Луганской Народной Республики, Запорожской области, Херсонской области — при оценке финансового положения заемщика не хуже, чем среднее.</w:t>
      </w:r>
    </w:p>
    <w:p w14:paraId="54F9C3F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При оценке ссуд, а также требований и условных обязательств кредитного характера, возникающих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на условиях, отличных от указанных в абзацах первом-шестом настоящего подпункта, расчетный резерв определяется в размере не менее 21 процента.</w:t>
      </w:r>
    </w:p>
    <w:p w14:paraId="1B143DA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В отношении ссуд, а также требований и условных обязательств кредитного характера, возникающих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случае, когда кредитными рейтинговыми агентствами по национальной рейтинговой шкале для Российской Федерации заемщику присвоен кредитный рейтинг не ниже уровня «ruA-» по шкале АО «Эксперт РА» и (или) «А-(RU)» по шкале АКРА (АО), и (или) «А-.ru» по шкале ООО «НКР», и (или) «А-|ru|» по шкале ООО «НРА», размер расчетного резерва может быть менее 21 процента, но не менее 1 процента. </w:t>
      </w:r>
    </w:p>
    <w:p w14:paraId="6747AF6E"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1.2. Формируемый после уменьшения на величину обеспечения в соответствии с главой 6 Положения Банка России № 590-П резерв по ссудам, а также требованиям и условным обязательствам кредитного характера, возникающим из кредитных договоров, заключенных с заемщиками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определяется в размере не менее 1 процента.</w:t>
      </w:r>
    </w:p>
    <w:p w14:paraId="680EA28D"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1.3. В целях применения пункта 3.8 Положения Банка России № 590-П независимо от оценки финансового положения заемщиков качество обслуживания долга по ссудам, предоставленным заемщикам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том числе соответствующим условиям, указанным в абзацах первом-седьмом подпункта 1.1 настоящего пункта, может признаваться хорошим до срока выплаты процентов и (или) суммы основного долга, определенного договором.</w:t>
      </w:r>
    </w:p>
    <w:p w14:paraId="63613A38"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1.4. Существенные факторы, указанные в абзацах втором, третьем, четвертом и седьмом подпункта 3.9.2 пункта 3.9 Положения Банка России № 590-П, не применяются при классификации ссуд, предоставленных заемщикам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w:t>
      </w:r>
    </w:p>
    <w:p w14:paraId="330D345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1.5. В случае выявления существенного фактора, предусмотренного абзацем пятым подпункта 3.9.2 пункта 3.9 Положения Банка России № 590-П, по ссуде, предоставленной заемщику в целях осуществления им предпринимательской деятельности на территории Донецкой Народной Республики, Луганской Народной Республики, Запорожской области, Херсонской области, подпункты 1.1, 1.3, 1.4, 1.6, 1.7, 1.8, 1.9 настоящего пункта не применяются.</w:t>
      </w:r>
    </w:p>
    <w:p w14:paraId="09981CEE"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1.6. В соответствии с подпунктом 3.9.3 пункта 3.9 Положения Банка России № 590-П кредитной организацией может быть принято решение о классификации ссуды, предоставленной заемщику в целях осуществления им предпринимательской деятельности на территории Донецкой Народной Республики, Луганской Народной Республики, Запорожской области, Херсонской области, в более высокую категорию качества, чем это предусмотрено таблицей 1 пункта 3.9 Положения Банка России № 590-П, при наличии государственной поддержки, предусматривающей поступление денежных средств в качестве источника погашения (например, субсидирование основного долга или иной вид финансовой помощи) независимо от оценки финансового положения заемщика.</w:t>
      </w:r>
    </w:p>
    <w:p w14:paraId="606BA7B9"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1.7. Предусмотренное пунктом 3.10 Положения Банка России № 590-П решение (общее решение в отношении совокупности ссуд) о признании обслуживания долга хорошим по реструктурированным ссудам, предоставленным заемщикам в целях осуществления ими предпринимательской деятельности на территории Донецкой Народной Республики, Луганской Народной Республики, Запорожской области, Херсонской области, может приниматься независимо от оценки финансового положения заемщика, при условии, что в течение последних 360 календарных дней, предшествующих дате оценки кредитного риска, обслуживание долга осуществляется своевременно и в полном объеме.</w:t>
      </w:r>
    </w:p>
    <w:p w14:paraId="4926C4BC"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1.8. Требование о формировании резерва по ссудам в размере не менее 50 процентов в случаях, предусмотренных абзацами первым-вторым пункта 3.12 и абзацем первым подпункта 3.12.1 пункта 3.12 Положения Банка России № 590-П, может не применяться в отношении ссуд, предоставленных заемщикам, зарегистрированным на территории Донецкой Народной Республики, Луганской Народной Республики, Запорожской области, Херсонской области на цели осуществления ими предпринимательской деятельности на территории указанных субъектов Российской Федерации.</w:t>
      </w:r>
    </w:p>
    <w:p w14:paraId="59F5A2E7" w14:textId="77777777" w:rsidR="00B4133F" w:rsidRPr="00F10141"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1.9. В целях применения пункта 4.1 Положения Банка России № 590-П категория качества и размер резерва по ссудам, предоставленным заемщику в целях осуществления предпринимательской деятельности на территории Донецкой Народной Республики, Луганской Народной Республики, Запорожской области, Херсонской области, не учитываются при оценке ссуд указанного заемщика, предоставленных на иные цели.</w:t>
      </w:r>
    </w:p>
    <w:p w14:paraId="7248D882" w14:textId="43E79179" w:rsidR="008E05BD" w:rsidRDefault="00B4133F" w:rsidP="00B4133F">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2. Применять настоящее решение с даты опубликования на официальном сайте Банка России в информационно-телекоммуникационной сети «Интернет».</w:t>
      </w:r>
    </w:p>
    <w:p w14:paraId="6A940309" w14:textId="77777777" w:rsidR="008E05BD" w:rsidRPr="00037D32" w:rsidRDefault="008E05BD" w:rsidP="00037D32"/>
    <w:p w14:paraId="58A20C7C" w14:textId="113A30F7" w:rsidR="005A3DBC" w:rsidRPr="00F10141" w:rsidRDefault="005A3DBC" w:rsidP="005A3DBC">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ДЕПОЗИТАРНЫЕ РАСПИСКИ ПЕРЕЕЗЖАЮЩИХ В РОССИЮ КОМПАНИЙ БУДУТ АВТОМАТИЧЕСКИ КОНВЕРТИРОВАНЫ В АКЦИИ </w:t>
      </w:r>
    </w:p>
    <w:p w14:paraId="5BC5D6A6" w14:textId="5C52AACD" w:rsidR="005A3DBC" w:rsidRPr="00F10141" w:rsidRDefault="005A3DBC" w:rsidP="005A3DBC">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18.09.2023</w:t>
      </w:r>
    </w:p>
    <w:p w14:paraId="5A7660F0" w14:textId="6A6F73A1"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Банк России </w:t>
      </w:r>
      <w:hyperlink r:id="rId19" w:history="1">
        <w:r w:rsidRPr="00F10141">
          <w:rPr>
            <w:rFonts w:ascii="Times New Roman" w:hAnsi="Times New Roman" w:cs="Times New Roman"/>
            <w:sz w:val="24"/>
            <w:szCs w:val="24"/>
          </w:rPr>
          <w:t>определил</w:t>
        </w:r>
      </w:hyperlink>
      <w:r w:rsidRPr="00F10141">
        <w:rPr>
          <w:rFonts w:ascii="Times New Roman" w:hAnsi="Times New Roman" w:cs="Times New Roman"/>
          <w:sz w:val="24"/>
          <w:szCs w:val="24"/>
        </w:rPr>
        <w:t xml:space="preserve"> порядок автоматической конвертации депозитарных расписок квазироссийских компаний в случае получения ими статуса международной компании с пропиской в российской юрисдикции.</w:t>
      </w:r>
    </w:p>
    <w:p w14:paraId="0A71B9DF" w14:textId="77777777"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Процедура коснется только ценных бумаг, права на которые учитываются российскими депозитариями. После государственной регистрации международная компания обязана в течение пяти рабочих дней уведомить держателей реестра ценных бумаг и депозитарии о начале расконвертации. Тогда учетные институты спишут со счетов инвесторов расписки и зачислят на них акции международной компании. Держателям расписок вне зависимости от того, являются они резидентами или нерезидентами, никаких действий предпринимать не потребуется. Весь процесс конвертации займет не более трех недель с момента поступления уведомления.</w:t>
      </w:r>
    </w:p>
    <w:p w14:paraId="47F45BF4" w14:textId="77777777" w:rsidR="005A3DBC" w:rsidRPr="00F10141" w:rsidRDefault="005A3DBC" w:rsidP="005A3DBC">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Кроме того, Банк России </w:t>
      </w:r>
      <w:hyperlink r:id="rId20" w:history="1">
        <w:r w:rsidRPr="00F10141">
          <w:rPr>
            <w:rFonts w:ascii="Times New Roman" w:hAnsi="Times New Roman" w:cs="Times New Roman"/>
            <w:sz w:val="24"/>
            <w:szCs w:val="24"/>
          </w:rPr>
          <w:t>продлил</w:t>
        </w:r>
      </w:hyperlink>
      <w:r w:rsidRPr="00F10141">
        <w:rPr>
          <w:rFonts w:ascii="Times New Roman" w:hAnsi="Times New Roman" w:cs="Times New Roman"/>
          <w:sz w:val="24"/>
          <w:szCs w:val="24"/>
        </w:rPr>
        <w:t xml:space="preserve"> до 31 декабря 2023 года мораторий на понижение уровня листинга ценных бумаг квазироссийских компаний, если они не соблюдают требования к корпоративному управлению. Это даст эмитентам дополнительное время для того, чтобы привести свои практики корпоративного управления в соответствие с нормативными требованиями и правилами листинга биржи.</w:t>
      </w:r>
    </w:p>
    <w:p w14:paraId="77A52F8B" w14:textId="77777777" w:rsidR="005006EF" w:rsidRPr="00D2036D" w:rsidRDefault="005006EF" w:rsidP="00D2036D"/>
    <w:p w14:paraId="421F3906" w14:textId="1C80D252" w:rsidR="00855BC5" w:rsidRPr="00F10141" w:rsidRDefault="00855BC5" w:rsidP="00855BC5">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СОВЕТ ДИРЕКТОРОВ БАНКА РОССИИ УСТАНОВИЛ РЕЖИМ СЧЕТА ТИПА «И» </w:t>
      </w:r>
    </w:p>
    <w:p w14:paraId="42DB80C8" w14:textId="7765DF2A" w:rsidR="00855BC5" w:rsidRPr="00F10141" w:rsidRDefault="00855BC5" w:rsidP="00855BC5">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15.09.2023</w:t>
      </w:r>
    </w:p>
    <w:p w14:paraId="62720FA2" w14:textId="10DF191E" w:rsidR="00855BC5" w:rsidRPr="00F10141" w:rsidRDefault="00344645" w:rsidP="00855BC5">
      <w:pPr>
        <w:shd w:val="clear" w:color="auto" w:fill="C9C9FF"/>
        <w:jc w:val="both"/>
        <w:rPr>
          <w:rFonts w:ascii="Times New Roman" w:hAnsi="Times New Roman" w:cs="Times New Roman"/>
          <w:sz w:val="24"/>
          <w:szCs w:val="24"/>
        </w:rPr>
      </w:pPr>
      <w:hyperlink r:id="rId21" w:history="1">
        <w:r w:rsidR="00855BC5" w:rsidRPr="00F10141">
          <w:rPr>
            <w:rFonts w:ascii="Times New Roman" w:hAnsi="Times New Roman" w:cs="Times New Roman"/>
            <w:sz w:val="24"/>
            <w:szCs w:val="24"/>
          </w:rPr>
          <w:t>Новый режим</w:t>
        </w:r>
      </w:hyperlink>
      <w:r w:rsidR="00855BC5" w:rsidRPr="00F10141">
        <w:rPr>
          <w:rFonts w:ascii="Times New Roman" w:hAnsi="Times New Roman" w:cs="Times New Roman"/>
          <w:sz w:val="24"/>
          <w:szCs w:val="24"/>
        </w:rPr>
        <w:t xml:space="preserve"> счета типа «И», открываемого для исполнения обязательств по еврооблигациям РФ в соответствии с Указом от 9 сентября 2023 года </w:t>
      </w:r>
      <w:hyperlink r:id="rId22" w:history="1">
        <w:r w:rsidR="00855BC5" w:rsidRPr="00F10141">
          <w:rPr>
            <w:rFonts w:ascii="Times New Roman" w:hAnsi="Times New Roman" w:cs="Times New Roman"/>
            <w:sz w:val="24"/>
            <w:szCs w:val="24"/>
          </w:rPr>
          <w:t>№ 665</w:t>
        </w:r>
      </w:hyperlink>
      <w:r w:rsidR="00855BC5" w:rsidRPr="00F10141">
        <w:rPr>
          <w:rFonts w:ascii="Times New Roman" w:hAnsi="Times New Roman" w:cs="Times New Roman"/>
          <w:sz w:val="24"/>
          <w:szCs w:val="24"/>
          <w:vertAlign w:val="superscript"/>
        </w:rPr>
        <w:t>1</w:t>
      </w:r>
      <w:r w:rsidR="00855BC5" w:rsidRPr="00F10141">
        <w:rPr>
          <w:rFonts w:ascii="Times New Roman" w:hAnsi="Times New Roman" w:cs="Times New Roman"/>
          <w:sz w:val="24"/>
          <w:szCs w:val="24"/>
        </w:rPr>
        <w:t>, вступает в силу со дня опубликования решения Совета директоров Банка России.</w:t>
      </w:r>
    </w:p>
    <w:p w14:paraId="4CCE9CAE"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Указ № 665 уточнил ранее установленный порядок выплат (купонов, номинала) по еврооблигациям Российской Федерации. При этом согласно Указу теперь режим счета типа «И» устанавливается решением Совета директоров Банка России. Также Указом № 665 был признан утратившим силу Указ от 22 июня 2022 года № 394</w:t>
      </w:r>
      <w:r w:rsidRPr="00F10141">
        <w:rPr>
          <w:rFonts w:ascii="Times New Roman" w:hAnsi="Times New Roman" w:cs="Times New Roman"/>
          <w:sz w:val="24"/>
          <w:szCs w:val="24"/>
          <w:vertAlign w:val="superscript"/>
        </w:rPr>
        <w:t>2</w:t>
      </w:r>
      <w:r w:rsidRPr="00F10141">
        <w:rPr>
          <w:rFonts w:ascii="Times New Roman" w:hAnsi="Times New Roman" w:cs="Times New Roman"/>
          <w:sz w:val="24"/>
          <w:szCs w:val="24"/>
        </w:rPr>
        <w:t>.</w:t>
      </w:r>
    </w:p>
    <w:p w14:paraId="2D5DAF74"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Ранее режим счета типа «И» устанавливался изданным на основании Указа № 394 Указанием Банка России № 6169-У</w:t>
      </w:r>
      <w:r w:rsidRPr="00F10141">
        <w:rPr>
          <w:rFonts w:ascii="Times New Roman" w:hAnsi="Times New Roman" w:cs="Times New Roman"/>
          <w:sz w:val="24"/>
          <w:szCs w:val="24"/>
          <w:vertAlign w:val="superscript"/>
        </w:rPr>
        <w:t>3</w:t>
      </w:r>
      <w:r w:rsidRPr="00F10141">
        <w:rPr>
          <w:rFonts w:ascii="Times New Roman" w:hAnsi="Times New Roman" w:cs="Times New Roman"/>
          <w:sz w:val="24"/>
          <w:szCs w:val="24"/>
        </w:rPr>
        <w:t>, которое в настоящий момент не применяется в связи с тем, что Указ № 394 утратил силу.</w:t>
      </w:r>
    </w:p>
    <w:p w14:paraId="4C40FE64" w14:textId="7A1F9597" w:rsidR="00855BC5" w:rsidRPr="00F10141" w:rsidRDefault="00344645" w:rsidP="00855BC5">
      <w:pPr>
        <w:shd w:val="clear" w:color="auto" w:fill="C9C9FF"/>
        <w:jc w:val="both"/>
        <w:rPr>
          <w:rFonts w:ascii="Times New Roman" w:hAnsi="Times New Roman" w:cs="Times New Roman"/>
          <w:sz w:val="24"/>
          <w:szCs w:val="24"/>
        </w:rPr>
      </w:pPr>
      <w:r>
        <w:rPr>
          <w:rFonts w:ascii="Times New Roman" w:hAnsi="Times New Roman" w:cs="Times New Roman"/>
          <w:sz w:val="24"/>
          <w:szCs w:val="24"/>
        </w:rPr>
        <w:pict w14:anchorId="2FA4034C">
          <v:rect id="_x0000_i1025" style="width:154.35pt;height:.75pt" o:hrpct="330" o:hrstd="t" o:hr="t" fillcolor="#a0a0a0" stroked="f"/>
        </w:pict>
      </w:r>
    </w:p>
    <w:p w14:paraId="746C0D7A"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1</w:t>
      </w:r>
      <w:r w:rsidRPr="00F10141">
        <w:rPr>
          <w:rFonts w:ascii="Times New Roman" w:hAnsi="Times New Roman" w:cs="Times New Roman"/>
          <w:sz w:val="24"/>
          <w:szCs w:val="24"/>
        </w:rPr>
        <w:t> Указ Президента Российской Федерации от 9 сентября 2023 года № 665 «О временном порядке исполнения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 и иных обязательств по иностранным ценным бумагам».</w:t>
      </w:r>
    </w:p>
    <w:p w14:paraId="704E08A3"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2</w:t>
      </w:r>
      <w:r w:rsidRPr="00F10141">
        <w:rPr>
          <w:rFonts w:ascii="Times New Roman" w:hAnsi="Times New Roman" w:cs="Times New Roman"/>
          <w:sz w:val="24"/>
          <w:szCs w:val="24"/>
        </w:rPr>
        <w:t> Указ Президента Российской Федерации от 22 июня 2022 года № 394 «О временном порядке исполнения перед резидентами и иностранными кредиторами государственных долговых обязательств Российской Федерации, выраженных в государственных ценных бумагах, номинальная стоимость которых указана в иностранной валюте».</w:t>
      </w:r>
    </w:p>
    <w:p w14:paraId="7CAE5736" w14:textId="77777777" w:rsidR="00855BC5" w:rsidRPr="00F10141" w:rsidRDefault="00855BC5" w:rsidP="00855BC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vertAlign w:val="superscript"/>
        </w:rPr>
        <w:t>3</w:t>
      </w:r>
      <w:r w:rsidRPr="00F10141">
        <w:rPr>
          <w:rFonts w:ascii="Times New Roman" w:hAnsi="Times New Roman" w:cs="Times New Roman"/>
          <w:sz w:val="24"/>
          <w:szCs w:val="24"/>
        </w:rPr>
        <w:t> Указание Банка России от 24 июня 2022 года № 6169-У «Об установлении режима счета типа «И».</w:t>
      </w:r>
    </w:p>
    <w:p w14:paraId="1D9CF0D7" w14:textId="77777777" w:rsidR="00314A3B" w:rsidRDefault="00314A3B" w:rsidP="00D2036D"/>
    <w:p w14:paraId="25C4A5F3" w14:textId="77777777" w:rsidR="00037D32" w:rsidRDefault="00037D32" w:rsidP="00D2036D"/>
    <w:p w14:paraId="041F30B3" w14:textId="77777777" w:rsidR="00037D32" w:rsidRDefault="00037D32" w:rsidP="00D2036D"/>
    <w:p w14:paraId="3B9BF933" w14:textId="77777777" w:rsidR="00037D32" w:rsidRPr="00D2036D" w:rsidRDefault="00037D32" w:rsidP="00D2036D"/>
    <w:p w14:paraId="086025F7" w14:textId="45F2F885" w:rsidR="00126E4B" w:rsidRPr="00F10141" w:rsidRDefault="00126E4B" w:rsidP="00126E4B">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ПАРТНЕРСКОЕ ФИНАНСИРОВАНИЕ: НОВЫЕ ВОЗМОЖНОСТИ ДЛЯ РАЗВИТИЯ РЫНКА </w:t>
      </w:r>
    </w:p>
    <w:p w14:paraId="4C352F61" w14:textId="598807D3" w:rsidR="00126E4B" w:rsidRPr="00F10141" w:rsidRDefault="00126E4B" w:rsidP="00126E4B">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18.07.2023</w:t>
      </w:r>
    </w:p>
    <w:p w14:paraId="42D38CAD"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Государственная Дума приняла во втором чтении законопроект, запускающий эксперимент по развитию партнерского финансирования в России. Эксперимент будет проходить с 1 сентября 2023 года по 1 сентября 2025 года на территории четырех пилотных регионов: Башкортостана, Татарстана, Чечни и Дагестана.</w:t>
      </w:r>
    </w:p>
    <w:p w14:paraId="6345C4BD"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Партнерское финансирование широко распространено в ряде стран мира. Его участники уделяют большое внимание этическим и религиозным аспектам — они не вправе взимать вознаграждение в виде ссудных процентов, но разделяют доходы и риски от реализации таких проектов с инвесторами и клиентами. Для них ограничено финансирование игорной деятельности, проектов по производству табачных изделий, алкоголя, оружия.</w:t>
      </w:r>
    </w:p>
    <w:p w14:paraId="4A7E81F7"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Предоставлять партнерские услуги смогут банки, финансовые организации, юридические лица, зарегистрированные в форме потребительского общества, фонда, автономной некоммерческой организации, хозяйственного общества или товарищества. При этом такие организации или их филиалы (для банков — внутренние структурные подразделения) должны быть зарегистрированы на территории пилотных регионов. Для клиентов — потребителей услуг партнерского финансирования таких ограничений нет.</w:t>
      </w:r>
    </w:p>
    <w:p w14:paraId="0672CFA2"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Участники эксперимента должны соответствовать требованиям закона и нормативных актов Банка России и находиться в специальном реестре, который будет вести регулятор.</w:t>
      </w:r>
    </w:p>
    <w:p w14:paraId="3B5EE160" w14:textId="77777777" w:rsidR="00126E4B"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стремится к созданию правовой среды для внедрения новых продуктов и услуг наряду с развитием традиционных финансовых рынков. Предоставление партнерского финансирования возможно и сейчас, но во многом затруднено в отсутствие специального регулирования. Этим отчасти объясняется то, что такое финансирование остается ограниченным как по объемам, так и по географии распространения.</w:t>
      </w:r>
    </w:p>
    <w:p w14:paraId="64F2DD60" w14:textId="050CD020" w:rsidR="005E3204" w:rsidRPr="00F10141" w:rsidRDefault="00126E4B" w:rsidP="00126E4B">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Эксперимент поможет оценить заинтересованность участников рынка в новых финансовых инструментах и увеличить доступность услуг для российских граждан, а также малого и среднего бизнеса. Развитие партнерского финансирования предусмотрено Основными направлениями развития финансового рынка Российской Федерации на 2023 год и период 2024 и 2025 годов и Перспективными направлениями развития банковского регулирования и надзора.</w:t>
      </w:r>
    </w:p>
    <w:p w14:paraId="556DF5E4" w14:textId="77777777" w:rsidR="00314A3B" w:rsidRPr="00D2036D" w:rsidRDefault="00314A3B" w:rsidP="00D2036D"/>
    <w:p w14:paraId="627EDBB5" w14:textId="3CC23BD6" w:rsidR="005E3204" w:rsidRPr="00F10141" w:rsidRDefault="005E3204" w:rsidP="005E3204">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В НАЦИОНАЛЬНОЙ СИСТЕМЕ ИНДИКАТОРОВ УЖЕ 100 ПОКАЗАТЕЛЕЙ </w:t>
      </w:r>
    </w:p>
    <w:p w14:paraId="37BFA3CB" w14:textId="3044BDAF" w:rsidR="005E3204" w:rsidRPr="00F10141" w:rsidRDefault="005E3204" w:rsidP="005E3204">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14.06.2023</w:t>
      </w:r>
    </w:p>
    <w:p w14:paraId="3C29CDB9" w14:textId="77777777" w:rsidR="000D39C7"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xml:space="preserve">Межведомственная рабочая группа одобрила шесть методик расчета товарных индикаторов, которые предусматривают формирование около 100 позиций. Все они теперь </w:t>
      </w:r>
      <w:hyperlink r:id="rId23" w:history="1">
        <w:r w:rsidRPr="00F10141">
          <w:rPr>
            <w:rStyle w:val="a4"/>
            <w:rFonts w:ascii="Times New Roman" w:hAnsi="Times New Roman" w:cs="Times New Roman"/>
            <w:b/>
            <w:sz w:val="24"/>
            <w:szCs w:val="24"/>
          </w:rPr>
          <w:t>представлены</w:t>
        </w:r>
      </w:hyperlink>
      <w:r w:rsidRPr="00F10141">
        <w:rPr>
          <w:rFonts w:ascii="Times New Roman" w:hAnsi="Times New Roman" w:cs="Times New Roman"/>
          <w:sz w:val="24"/>
          <w:szCs w:val="24"/>
        </w:rPr>
        <w:t xml:space="preserve"> на сайте Банка России.</w:t>
      </w:r>
    </w:p>
    <w:p w14:paraId="721F602C" w14:textId="2AC5FF29"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Индикаторы могут использовать участники рынка при заключении сделок, для оценки состояния отдельных сегментов товарного рынка, а также для выполнения регуляторных требований.</w:t>
      </w:r>
    </w:p>
    <w:p w14:paraId="38B95DBD" w14:textId="77777777"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национальную систему индикаторов сейчас входят девять товаров, включая аффинированное золото, пшеницу, сахар и подсолнечное масло. Также ее дополнили национальные и территориальные индексы нефтепродуктов, в том числе бензина, дизельного топлива, авиакеросина, топочного мазута и сжиженных углеводородных газов.</w:t>
      </w:r>
    </w:p>
    <w:p w14:paraId="3A4DE8E9" w14:textId="77777777" w:rsidR="005E3204" w:rsidRPr="00F10141" w:rsidRDefault="005E3204" w:rsidP="005E3204">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совместно с профильными ведомствами участвует в работе по созданию национальной системы финансовых и товарных индикаторов и следит за качеством деятельности их администраторов.</w:t>
      </w:r>
    </w:p>
    <w:p w14:paraId="70DE74BE" w14:textId="77777777" w:rsidR="005006EF" w:rsidRPr="00D2036D" w:rsidRDefault="005006EF" w:rsidP="00D2036D"/>
    <w:p w14:paraId="6A896D53" w14:textId="28CA0F29"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БАНК РОССИИ ВВОДИТ СТИМУЛИРУЮЩЕЕ БАНКОВСКОЕ РЕГУЛИРОВАНИЕ ДЛЯ ПРОЕКТОВ ТЕХНОЛОГИЧЕСКОГО СУВЕРЕНИТЕТА И </w:t>
      </w:r>
      <w:r w:rsidR="0074781A">
        <w:rPr>
          <w:rFonts w:ascii="Times New Roman" w:hAnsi="Times New Roman" w:cs="Times New Roman"/>
          <w:b/>
          <w:sz w:val="24"/>
          <w:szCs w:val="24"/>
        </w:rPr>
        <w:t>СТРУКТУРНОЙ АДАПТАЦИИ ЭКОНОМИКИ</w:t>
      </w:r>
    </w:p>
    <w:p w14:paraId="3533EA8F" w14:textId="172879FF"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13.06.2023</w:t>
      </w:r>
    </w:p>
    <w:p w14:paraId="7AF6414E" w14:textId="67B491A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Регулятор внедрил специальные меры по поддержке кредитования проектов технологического суверенитета и структурной адаптации экономики.</w:t>
      </w:r>
    </w:p>
    <w:p w14:paraId="54344C7D"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Применение стимулирующего регулирования (указания № 6436-У и № 6443-У) позволит банкам с универсальной лицензией снизить нагрузку на капитал по целевым кредитам, выданным на реализацию таких проектов после 30 сентября 2022 года.</w:t>
      </w:r>
    </w:p>
    <w:p w14:paraId="789E9658" w14:textId="15447A1A"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Критерии проектов, на которые распространяется новое регулирование, утверждены Правительством. Снижение нагрузки на капитал может составлять от 10 до 70% от стандартной величины кредитного риска по ссуде в зависимости от категории проекта (технологический суверенитет или структурная адаптация экономики) и кредитного качества ссуды, в том числе определяемого с помощью национальных кредитных рейтингов.</w:t>
      </w:r>
    </w:p>
    <w:p w14:paraId="76FAAB65"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Для ограничения рисков стимулирующее регулирование смогут применять только банки, соблюдающие надбавки к нормативам достаточности капитала. При этом величина снижения нагрузки на капитал в целом по кредитному портфелю (лимит экономии капитала) не должна превышать 5% от собственных средств, если банк соблюдает временные значения надбавок, и 10% для банков, которые соблюдают надбавки без учета временных послаблений. Дополнительно лимит экономии капитала ограничен средней величиной годовой чистой прибыли банка за последние пять лет с исключением максимального и минимального значений.</w:t>
      </w:r>
    </w:p>
    <w:p w14:paraId="31EA3B49"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Внедрение стимулирующего регулирования будет способствовать финансированию наиболее значимых для экономики страны инвестиционных проектов. При этом за счет высвобождения капитала общий прирост потенциала кредитования может составить до 10 трлн рублей.</w:t>
      </w:r>
    </w:p>
    <w:p w14:paraId="4305D725"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Это создаст дополнительный импульс для развития приоритетных направлений российской промышленности и поможет переориентировать внешнеэкономическую деятельность на новые рынки. В среднесрочной перспективе достижение этих целей сделает экономическую систему более устойчивой и, как следствие, будет способствовать улучшению профиля рисков банковского сектора.</w:t>
      </w:r>
    </w:p>
    <w:p w14:paraId="7DD58C26" w14:textId="77777777" w:rsidR="003102AF" w:rsidRPr="00D2036D" w:rsidRDefault="003102AF" w:rsidP="00D2036D"/>
    <w:p w14:paraId="6A2B116D" w14:textId="521B7903"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МЕХАНИЗМ ПОДДЕРЖКИ КРЕДИТОВАНИЯ СУБЪЕКТОВ МСП ДОПОЛНЕН КРЕДИТАМИ ПОД ЗАЛОГ ОФЗ </w:t>
      </w:r>
    </w:p>
    <w:p w14:paraId="11486D13" w14:textId="7B6257F3" w:rsidR="00604EF9" w:rsidRPr="00F10141" w:rsidRDefault="00604EF9"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13.06.2023</w:t>
      </w:r>
    </w:p>
    <w:p w14:paraId="635D37ED" w14:textId="77777777"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дополнил механизм предоставления ликвидности для поддержки кредитования субъектов малого и среднего предпринимательства кредитами под залог облигаций федерального займа (ОФЗ). Ранее в механизме были задействованы только кредиты, обеспеченные поручительством АО «Корпорация «МСП».</w:t>
      </w:r>
    </w:p>
    <w:p w14:paraId="057F9017" w14:textId="33026AC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Эта мера позволит расширить возможности банков участвовать в Программе стимулирования кредитования субъектов малого и среднего предпринимательства (далее — Программа), реализуемой АО «Корпорация «МСП». Кредиты, обеспеченные залогом ОФЗ, будут предоставляться на тех же условиях, что и кредиты, обеспеченные поручительством АО «Корпорация «МСП». Процентная ставка по этим операциям будет равна ключевой ставке Банка России, уменьшенной на 1,5 процентного пункта. Максимально возможный срок кредитования составит 3 года (1095 дней). На кредиты под залог ОФЗ будет распространен совокупный лимит по механизмам поддержки кредитования субъектов МСП в сумме 288,3 млрд рублей. Одновременно для системно значимых кредитных организаций в рамках Программы будет установлен совокупный сублимит в сумме 230 млрд рублей.</w:t>
      </w:r>
    </w:p>
    <w:p w14:paraId="44BDF584" w14:textId="7EC6FF00"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Индивидуальные лимиты на кредитные организации по таким кредитам Банк России будет определять на основании получаемой от АО «Корпорация «МСП» информации о задолженности по кредитам тем заемщикам, которые соответствуют требованиям Программы.</w:t>
      </w:r>
    </w:p>
    <w:p w14:paraId="4F5C9E24" w14:textId="3331915F"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Порядок предоставления данных кредитов будет аналогичен порядку предоставления ломбардных кредитов постоянного действия в рамках Условий проведения операций по предоставлению и погашению кредитов Банка России, обеспеченных ценными бумагами или правами требования по кредитным договорам. Кредиты, обеспеченные залогом ОФЗ, также могут быть досрочно погашены по инициативе как кредитной организации, так и Банка России.</w:t>
      </w:r>
    </w:p>
    <w:p w14:paraId="3BAFB706" w14:textId="725536A6" w:rsidR="00604EF9" w:rsidRPr="00F10141" w:rsidRDefault="00604EF9" w:rsidP="00604EF9">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Для получения кредитов, обеспеченных залогом ОФЗ, кредитным организациям необходимо будет заключить отдельный договор. Информация, необходимая для заключения такого договора, включая его форму, будет опубликована на сайте Банка России.</w:t>
      </w:r>
    </w:p>
    <w:p w14:paraId="31098CA7" w14:textId="77777777" w:rsidR="00604EF9" w:rsidRPr="00037D32" w:rsidRDefault="00604EF9" w:rsidP="00037D32"/>
    <w:p w14:paraId="69B3FFE1" w14:textId="77777777" w:rsidR="00037D32" w:rsidRPr="00037D32" w:rsidRDefault="00037D32" w:rsidP="00037D32"/>
    <w:p w14:paraId="396C3939" w14:textId="77777777" w:rsidR="00037D32" w:rsidRPr="00037D32" w:rsidRDefault="00037D32" w:rsidP="00037D32"/>
    <w:p w14:paraId="07DC1B6C" w14:textId="77777777" w:rsidR="00037D32" w:rsidRPr="00037D32" w:rsidRDefault="00037D32" w:rsidP="00037D32"/>
    <w:p w14:paraId="2214BE4D" w14:textId="77777777" w:rsidR="00037D32" w:rsidRPr="00037D32" w:rsidRDefault="00037D32" w:rsidP="00037D32"/>
    <w:p w14:paraId="10D54F11" w14:textId="77777777" w:rsidR="00037D32" w:rsidRPr="00037D32" w:rsidRDefault="00037D32" w:rsidP="00037D32"/>
    <w:p w14:paraId="6246F067" w14:textId="77777777" w:rsidR="00037D32" w:rsidRPr="00037D32" w:rsidRDefault="00037D32" w:rsidP="00037D32"/>
    <w:p w14:paraId="56818638" w14:textId="77777777" w:rsidR="00037D32" w:rsidRPr="00037D32" w:rsidRDefault="00037D32" w:rsidP="00037D32"/>
    <w:p w14:paraId="0AE5DAE8" w14:textId="7CE9D126" w:rsidR="00546D3D" w:rsidRPr="00F10141" w:rsidRDefault="00546D3D" w:rsidP="00604EF9">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Кредитные каникулы для участников специальной военной операции (СВО) – Кредитные каникулы для мобилизованных владельцев МСП</w:t>
      </w:r>
    </w:p>
    <w:p w14:paraId="5EF40211" w14:textId="73E7E15A" w:rsidR="00546D3D" w:rsidRDefault="00344645" w:rsidP="00EA70A2">
      <w:pPr>
        <w:shd w:val="clear" w:color="auto" w:fill="FFFFFF" w:themeFill="background1"/>
        <w:jc w:val="both"/>
        <w:rPr>
          <w:rStyle w:val="a4"/>
          <w:rFonts w:ascii="Times New Roman" w:hAnsi="Times New Roman" w:cs="Times New Roman"/>
          <w:b/>
          <w:sz w:val="24"/>
          <w:szCs w:val="24"/>
        </w:rPr>
      </w:pPr>
      <w:hyperlink r:id="rId24" w:anchor="a_t975" w:history="1">
        <w:r w:rsidR="00546D3D" w:rsidRPr="00F10141">
          <w:rPr>
            <w:rStyle w:val="a4"/>
            <w:rFonts w:ascii="Times New Roman" w:hAnsi="Times New Roman" w:cs="Times New Roman"/>
            <w:b/>
            <w:sz w:val="24"/>
            <w:szCs w:val="24"/>
          </w:rPr>
          <w:t>http://www.cbr.ru/faq/voprosy-i-otvety-po-kreditnym-kanikulam-dlya-uchastnikov-special-noy-voennoy-operacii/#a_t975</w:t>
        </w:r>
      </w:hyperlink>
    </w:p>
    <w:p w14:paraId="311FFF76" w14:textId="77777777" w:rsidR="00EA1711" w:rsidRPr="00F10141" w:rsidRDefault="00EA1711" w:rsidP="00EA70A2">
      <w:pPr>
        <w:shd w:val="clear" w:color="auto" w:fill="FFFFFF" w:themeFill="background1"/>
        <w:jc w:val="both"/>
        <w:rPr>
          <w:rStyle w:val="a4"/>
          <w:rFonts w:ascii="Times New Roman" w:hAnsi="Times New Roman" w:cs="Times New Roman"/>
          <w:b/>
          <w:sz w:val="24"/>
          <w:szCs w:val="24"/>
        </w:rPr>
      </w:pPr>
    </w:p>
    <w:p w14:paraId="60B6BCC7" w14:textId="26CFB769" w:rsidR="00791546" w:rsidRPr="00F10141"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ОФОРМЛЕНИЕ КРЕДИТНЫХ КАНИКУЛ ДЛЯ МОБИЛИЗОВАННЫХ И УЧАСТНИКОВ СВО: РАЗЪЯСНЕНИЯ БАНКА РОССИИ </w:t>
      </w:r>
    </w:p>
    <w:p w14:paraId="18F25DE4" w14:textId="43277772" w:rsidR="00791546" w:rsidRPr="00F10141"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от </w:t>
      </w:r>
      <w:r w:rsidR="00A66425" w:rsidRPr="00F10141">
        <w:rPr>
          <w:rFonts w:ascii="Times New Roman" w:hAnsi="Times New Roman" w:cs="Times New Roman"/>
          <w:b/>
          <w:sz w:val="24"/>
          <w:szCs w:val="24"/>
        </w:rPr>
        <w:t>21</w:t>
      </w:r>
      <w:r w:rsidRPr="00F10141">
        <w:rPr>
          <w:rFonts w:ascii="Times New Roman" w:hAnsi="Times New Roman" w:cs="Times New Roman"/>
          <w:b/>
          <w:sz w:val="24"/>
          <w:szCs w:val="24"/>
        </w:rPr>
        <w:t>.10.2022</w:t>
      </w:r>
    </w:p>
    <w:p w14:paraId="26C43E5D"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Требование о кредитных каникулах может направить не только сам военнослужащий, но и другой человек, имеющий доверенность, в том числе в простой письменной форме.</w:t>
      </w:r>
    </w:p>
    <w:p w14:paraId="5EE633E5"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Документы, подтверждающие право на кредитные каникулы, также могут быть представлены иными лицами, доверенности для этого не требуется. Этими документами могут быть выписки из приказов командира военной части или военного комиссариата и другие. Об этом говорится в информационном письме Банка России.</w:t>
      </w:r>
    </w:p>
    <w:p w14:paraId="7EE0AF9C"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Кредиторам также рекомендуется не запрашивать подтверждающие документы, если есть основания полагать, что заемщик имеет право на кредитные каникулы (например, при зачислении на его счет денежного довольствия военнослужащего). То, что человек в ответ на запрос не представил документы, не может быть поводом для отказа — он вправе сделать это в течение 30 дней после прекращения участия в СВО, напоминает Банк России.</w:t>
      </w:r>
    </w:p>
    <w:p w14:paraId="6D617435" w14:textId="77777777"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письме приводится перечень документов, которые, по мнению регулятора, достаточны для оформления каникул по кредитам и займам членов семей мобилизованных и участников СВО. Так, для супруги — это свидетельство о заключении брака, для иждивенцев — акт органа опеки о назначении военнослужащего опекуном или попечителем либо решение суда об установлении факта нахождения лица на иждивении военнослужащего.</w:t>
      </w:r>
    </w:p>
    <w:p w14:paraId="545E2341" w14:textId="77777777" w:rsidR="001B0D2C"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Банк России подчеркивает, что добровольцы — участники СВО и члены их семей также имеют право на кредитные каникулы.</w:t>
      </w:r>
    </w:p>
    <w:p w14:paraId="55187E72" w14:textId="3A7B66CE" w:rsidR="00791546" w:rsidRPr="00F10141" w:rsidRDefault="00791546" w:rsidP="00A66425">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Ранее Банк России обратил внимание банков и других кредиторов на необходимость разместить на своих сайтах информацию об условиях кредитных каникул для участников СВО и провести обучение сотрудников своих офисов по этой теме.</w:t>
      </w:r>
    </w:p>
    <w:p w14:paraId="046E8A1D" w14:textId="77777777" w:rsidR="003102AF" w:rsidRDefault="003102AF" w:rsidP="00791546">
      <w:pPr>
        <w:shd w:val="clear" w:color="auto" w:fill="FFFFFF" w:themeFill="background1"/>
        <w:jc w:val="both"/>
        <w:rPr>
          <w:rStyle w:val="a4"/>
          <w:rFonts w:ascii="Times New Roman" w:hAnsi="Times New Roman" w:cs="Times New Roman"/>
          <w:b/>
          <w:sz w:val="24"/>
          <w:szCs w:val="24"/>
        </w:rPr>
      </w:pPr>
    </w:p>
    <w:p w14:paraId="1FB53B33" w14:textId="77777777" w:rsidR="003102AF" w:rsidRPr="00F10141" w:rsidRDefault="003102AF" w:rsidP="00791546">
      <w:pPr>
        <w:shd w:val="clear" w:color="auto" w:fill="FFFFFF" w:themeFill="background1"/>
        <w:jc w:val="both"/>
        <w:rPr>
          <w:rStyle w:val="a4"/>
          <w:rFonts w:ascii="Times New Roman" w:hAnsi="Times New Roman" w:cs="Times New Roman"/>
          <w:b/>
          <w:sz w:val="24"/>
          <w:szCs w:val="24"/>
        </w:rPr>
      </w:pPr>
    </w:p>
    <w:p w14:paraId="794193AD" w14:textId="2E2AA188" w:rsidR="00791546"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 xml:space="preserve">ВВОДЯТСЯ КРЕДИТНЫЕ КАНИКУЛЫ ДЛЯ МОБИЛИЗОВАННЫХ ВЛАДЕЛЬЦЕВ МСП, УТОЧНЯЕТСЯ ПОРЯДОК </w:t>
      </w:r>
      <w:r w:rsidR="004C456E">
        <w:rPr>
          <w:rFonts w:ascii="Times New Roman" w:hAnsi="Times New Roman" w:cs="Times New Roman"/>
          <w:b/>
          <w:sz w:val="24"/>
          <w:szCs w:val="24"/>
        </w:rPr>
        <w:t>КАНИКУЛ ДЛЯ ВСЕХ УЧАСТНИКОВ СВО</w:t>
      </w:r>
    </w:p>
    <w:p w14:paraId="63CB57DF" w14:textId="50AD2ABE" w:rsidR="00791546" w:rsidRDefault="00791546" w:rsidP="00791546">
      <w:pP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 18.10.2022</w:t>
      </w:r>
    </w:p>
    <w:p w14:paraId="597C5207"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Право приостановить платежи по кредитам и займам для бизнеса получат мобилизованные владельцы ООО, если они являются единственными учредителями обществ и одновременно руководят ими, а сами компании входят в реестр МСП. Еще одно условие: сведения об учредителе и руководителе в ЕГРЮЛ не менялись после 21 сентября 2022 года.</w:t>
      </w:r>
    </w:p>
    <w:p w14:paraId="3833341F"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Такой закон принят Государственной Думой.</w:t>
      </w:r>
    </w:p>
    <w:p w14:paraId="4A1C3A96"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Подать требование о кредитных каникулах (льготном периоде) может как сам учредитель ООО, так и человек, действующий по его доверенности. Кредитные каникулы начинаются со дня обращения либо с более ранней даты, указанной заемщиком, но не ранее 21 сентября 2022 года. Их можно получить по любым кредитам и займам, которые были оформлены на ООО до мобилизации учредителя. После окончания мобилизации срок кредитных каникул продлевается на 90 дней.</w:t>
      </w:r>
    </w:p>
    <w:p w14:paraId="05005E6C"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В течение льготного периода проценты продолжают начисляться по ставке, определенной договором. После его окончания начисленные, но не уплаченные проценты включаются в сумму основного долга, а срок кредита или займа продлевается таким образом, чтобы периодичность и размер платежей остались прежними.</w:t>
      </w:r>
    </w:p>
    <w:p w14:paraId="12A5A282"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Новый закон вносит ряд уточнений в порядок предоставления кредитных каникул всем участникам специальной военной операции (СВО), который был установлен законом от 7 октября 2022 года:</w:t>
      </w:r>
    </w:p>
    <w:p w14:paraId="08BCE2C5"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после окончания мобилизации или участия заемщика в СВО срок кредитных каникул может быть продлен на период, пока участник СВО признан безвестно отсутствующим;</w:t>
      </w:r>
    </w:p>
    <w:p w14:paraId="2D9D80AA" w14:textId="77777777"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Правительство РФ получило право ограничить максимальный размер кредита или займа на предпринимательские цели, который подлежит списанию, если военнослужащий — индивидуальный предприниматель погиб или получил инвалидность I группы;</w:t>
      </w:r>
    </w:p>
    <w:p w14:paraId="634A7974" w14:textId="40ED21DB" w:rsidR="00791546" w:rsidRPr="00F10141" w:rsidRDefault="00791546" w:rsidP="00791546">
      <w:pPr>
        <w:shd w:val="clear" w:color="auto" w:fill="C9C9FF"/>
        <w:jc w:val="both"/>
        <w:rPr>
          <w:rFonts w:ascii="Times New Roman" w:hAnsi="Times New Roman" w:cs="Times New Roman"/>
          <w:sz w:val="24"/>
          <w:szCs w:val="24"/>
        </w:rPr>
      </w:pPr>
      <w:r w:rsidRPr="00F10141">
        <w:rPr>
          <w:rFonts w:ascii="Times New Roman" w:hAnsi="Times New Roman" w:cs="Times New Roman"/>
          <w:sz w:val="24"/>
          <w:szCs w:val="24"/>
        </w:rPr>
        <w:t>— меняется порядок подтверждения права на кредитные каникулы: кредитор сможет запросить информацию о мобилизации заемщика или его участии в СВО в Федеральной налоговой службе, которая будет получать соответствующие данные от Минобороны (эта норма вступит в силу с 23 ноября 2022 года).</w:t>
      </w:r>
    </w:p>
    <w:p w14:paraId="3B224B0E" w14:textId="77777777" w:rsidR="00791546" w:rsidRDefault="00791546" w:rsidP="00EA70A2">
      <w:pPr>
        <w:shd w:val="clear" w:color="auto" w:fill="FFFFFF" w:themeFill="background1"/>
        <w:jc w:val="both"/>
        <w:rPr>
          <w:rStyle w:val="a4"/>
          <w:rFonts w:ascii="Times New Roman" w:hAnsi="Times New Roman" w:cs="Times New Roman"/>
          <w:b/>
          <w:sz w:val="24"/>
          <w:szCs w:val="24"/>
        </w:rPr>
      </w:pPr>
    </w:p>
    <w:p w14:paraId="06ACE401" w14:textId="77777777" w:rsidR="003102AF" w:rsidRDefault="003102AF" w:rsidP="00EA70A2">
      <w:pPr>
        <w:shd w:val="clear" w:color="auto" w:fill="FFFFFF" w:themeFill="background1"/>
        <w:jc w:val="both"/>
        <w:rPr>
          <w:rStyle w:val="a4"/>
          <w:rFonts w:ascii="Times New Roman" w:hAnsi="Times New Roman" w:cs="Times New Roman"/>
          <w:b/>
          <w:sz w:val="24"/>
          <w:szCs w:val="24"/>
        </w:rPr>
      </w:pPr>
    </w:p>
    <w:p w14:paraId="31B3B0FD" w14:textId="77777777" w:rsidR="003102AF" w:rsidRPr="00F10141" w:rsidRDefault="003102AF" w:rsidP="00EA70A2">
      <w:pPr>
        <w:shd w:val="clear" w:color="auto" w:fill="FFFFFF" w:themeFill="background1"/>
        <w:jc w:val="both"/>
        <w:rPr>
          <w:rStyle w:val="a4"/>
          <w:rFonts w:ascii="Times New Roman" w:hAnsi="Times New Roman" w:cs="Times New Roman"/>
          <w:b/>
          <w:sz w:val="24"/>
          <w:szCs w:val="24"/>
        </w:rPr>
      </w:pPr>
    </w:p>
    <w:p w14:paraId="6B6C9E9B" w14:textId="02F332B7" w:rsidR="00E16287" w:rsidRPr="00F10141" w:rsidRDefault="002028E7" w:rsidP="00600A92">
      <w:pPr>
        <w:pBdr>
          <w:top w:val="single" w:sz="4" w:space="1" w:color="auto"/>
          <w:bottom w:val="single" w:sz="4" w:space="1" w:color="auto"/>
        </w:pBd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ОБЩИЕ ЭКОНОМИЧЕСКИЕ МЕРЫ, ИМЕЮЩИЕ ОТНОШЕНИЕ К ПРЕДПРИЯТИЯМ РЕАЛЬНОГО СЕКТОРА ЭКОНОМИКИ</w:t>
      </w:r>
    </w:p>
    <w:p w14:paraId="410D817E" w14:textId="77777777" w:rsidR="00C34A3E" w:rsidRPr="00F10141" w:rsidRDefault="00344645" w:rsidP="00600A92">
      <w:pPr>
        <w:shd w:val="clear" w:color="auto" w:fill="FFFFFF" w:themeFill="background1"/>
        <w:jc w:val="both"/>
        <w:rPr>
          <w:rFonts w:ascii="Times New Roman" w:hAnsi="Times New Roman" w:cs="Times New Roman"/>
          <w:b/>
          <w:sz w:val="24"/>
          <w:szCs w:val="24"/>
        </w:rPr>
      </w:pPr>
      <w:hyperlink r:id="rId25" w:history="1">
        <w:r w:rsidR="00C34A3E" w:rsidRPr="00F10141">
          <w:rPr>
            <w:rStyle w:val="a4"/>
            <w:rFonts w:ascii="Times New Roman" w:hAnsi="Times New Roman" w:cs="Times New Roman"/>
            <w:b/>
            <w:sz w:val="24"/>
            <w:szCs w:val="24"/>
          </w:rPr>
          <w:t>http://www.cbr.ru/explan/support_measures_fin/</w:t>
        </w:r>
      </w:hyperlink>
    </w:p>
    <w:p w14:paraId="772E3DFE" w14:textId="190A045F" w:rsidR="00E16287" w:rsidRPr="00F10141" w:rsidRDefault="002028E7" w:rsidP="00600A92">
      <w:pPr>
        <w:pBdr>
          <w:top w:val="single" w:sz="4" w:space="1" w:color="auto"/>
          <w:bottom w:val="single" w:sz="4" w:space="1" w:color="auto"/>
        </w:pBdr>
        <w:shd w:val="clear" w:color="auto" w:fill="C9C9FF"/>
        <w:jc w:val="both"/>
        <w:rPr>
          <w:rFonts w:ascii="Times New Roman" w:hAnsi="Times New Roman" w:cs="Times New Roman"/>
          <w:b/>
          <w:sz w:val="24"/>
          <w:szCs w:val="24"/>
        </w:rPr>
      </w:pPr>
      <w:r w:rsidRPr="00F10141">
        <w:rPr>
          <w:rFonts w:ascii="Times New Roman" w:hAnsi="Times New Roman" w:cs="Times New Roman"/>
          <w:b/>
          <w:sz w:val="24"/>
          <w:szCs w:val="24"/>
        </w:rPr>
        <w:t>ОТВЕТЫ НА ЧАСТО ЗАДАВАЕМЫЕ ВОПРОСЫ О РАБОТЕ ФИНАНСОВОЙ СИСТЕМЫ В УСЛОВИЯХ САНКЦИОННЫХ ОГРАНИЧЕНИЙ</w:t>
      </w:r>
    </w:p>
    <w:p w14:paraId="3491F288" w14:textId="72687D2F" w:rsidR="00012011" w:rsidRPr="00F10141" w:rsidRDefault="00344645" w:rsidP="00726EE2">
      <w:pPr>
        <w:shd w:val="clear" w:color="auto" w:fill="FFFFFF" w:themeFill="background1"/>
        <w:jc w:val="both"/>
        <w:rPr>
          <w:rStyle w:val="a4"/>
          <w:rFonts w:ascii="Times New Roman" w:hAnsi="Times New Roman" w:cs="Times New Roman"/>
          <w:b/>
          <w:sz w:val="24"/>
          <w:szCs w:val="24"/>
        </w:rPr>
      </w:pPr>
      <w:hyperlink r:id="rId26" w:history="1">
        <w:r w:rsidR="00C34A3E" w:rsidRPr="00F10141">
          <w:rPr>
            <w:rStyle w:val="a4"/>
            <w:rFonts w:ascii="Times New Roman" w:hAnsi="Times New Roman" w:cs="Times New Roman"/>
            <w:b/>
            <w:sz w:val="24"/>
            <w:szCs w:val="24"/>
          </w:rPr>
          <w:t>http://www.cbr.ru/faq/w_fin_sector/</w:t>
        </w:r>
      </w:hyperlink>
      <w:r w:rsidR="0068030A" w:rsidRPr="00F10141">
        <w:rPr>
          <w:rStyle w:val="a4"/>
          <w:rFonts w:ascii="Times New Roman" w:hAnsi="Times New Roman" w:cs="Times New Roman"/>
          <w:b/>
          <w:sz w:val="24"/>
          <w:szCs w:val="24"/>
          <w:u w:val="none"/>
        </w:rPr>
        <w:t xml:space="preserve">                         </w:t>
      </w:r>
      <w:hyperlink r:id="rId27" w:history="1">
        <w:r w:rsidR="00C34A3E" w:rsidRPr="00F10141">
          <w:rPr>
            <w:rStyle w:val="a4"/>
            <w:rFonts w:ascii="Times New Roman" w:hAnsi="Times New Roman" w:cs="Times New Roman"/>
            <w:b/>
            <w:sz w:val="24"/>
            <w:szCs w:val="24"/>
            <w:lang w:val="en-US"/>
          </w:rPr>
          <w:t>http</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www</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fincult</w:t>
        </w:r>
        <w:r w:rsidR="00C34A3E" w:rsidRPr="00F10141">
          <w:rPr>
            <w:rStyle w:val="a4"/>
            <w:rFonts w:ascii="Times New Roman" w:hAnsi="Times New Roman" w:cs="Times New Roman"/>
            <w:b/>
            <w:sz w:val="24"/>
            <w:szCs w:val="24"/>
          </w:rPr>
          <w:t>.</w:t>
        </w:r>
        <w:r w:rsidR="00C34A3E" w:rsidRPr="00F10141">
          <w:rPr>
            <w:rStyle w:val="a4"/>
            <w:rFonts w:ascii="Times New Roman" w:hAnsi="Times New Roman" w:cs="Times New Roman"/>
            <w:b/>
            <w:sz w:val="24"/>
            <w:szCs w:val="24"/>
            <w:lang w:val="en-US"/>
          </w:rPr>
          <w:t>info</w:t>
        </w:r>
      </w:hyperlink>
    </w:p>
    <w:sectPr w:rsidR="00012011" w:rsidRPr="00F10141" w:rsidSect="003F7E8D">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2077B2" w14:textId="77777777" w:rsidR="00EE47C0" w:rsidRDefault="00EE47C0" w:rsidP="003F7E8D">
      <w:pPr>
        <w:spacing w:after="0" w:line="240" w:lineRule="auto"/>
      </w:pPr>
      <w:r>
        <w:separator/>
      </w:r>
    </w:p>
  </w:endnote>
  <w:endnote w:type="continuationSeparator" w:id="0">
    <w:p w14:paraId="00305024" w14:textId="77777777" w:rsidR="00EE47C0" w:rsidRDefault="00EE47C0" w:rsidP="003F7E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065C2A" w14:textId="77777777" w:rsidR="00EE47C0" w:rsidRDefault="00EE47C0" w:rsidP="003F7E8D">
      <w:pPr>
        <w:spacing w:after="0" w:line="240" w:lineRule="auto"/>
      </w:pPr>
      <w:r>
        <w:separator/>
      </w:r>
    </w:p>
  </w:footnote>
  <w:footnote w:type="continuationSeparator" w:id="0">
    <w:p w14:paraId="03589C35" w14:textId="77777777" w:rsidR="00EE47C0" w:rsidRDefault="00EE47C0" w:rsidP="003F7E8D">
      <w:pPr>
        <w:spacing w:after="0" w:line="240" w:lineRule="auto"/>
      </w:pPr>
      <w:r>
        <w:continuationSeparator/>
      </w:r>
    </w:p>
  </w:footnote>
  <w:footnote w:id="1">
    <w:p w14:paraId="2FBCE081" w14:textId="4901162F" w:rsidR="00EE47C0" w:rsidRPr="00513A96" w:rsidRDefault="00EE47C0" w:rsidP="00DE73B2">
      <w:pPr>
        <w:pStyle w:val="af3"/>
        <w:jc w:val="both"/>
        <w:rPr>
          <w:rFonts w:ascii="Times New Roman" w:hAnsi="Times New Roman" w:cs="Times New Roman"/>
        </w:rPr>
      </w:pPr>
      <w:r w:rsidRPr="00513A96">
        <w:rPr>
          <w:rStyle w:val="af5"/>
          <w:rFonts w:ascii="Times New Roman" w:hAnsi="Times New Roman" w:cs="Times New Roman"/>
        </w:rPr>
        <w:footnoteRef/>
      </w:r>
      <w:r>
        <w:rPr>
          <w:rFonts w:ascii="Times New Roman" w:hAnsi="Times New Roman" w:cs="Times New Roman"/>
        </w:rPr>
        <w:t xml:space="preserve"> Примечание: новые / обновленные (за отчетный период, если не указано иное</w:t>
      </w:r>
      <w:r w:rsidRPr="00513A96">
        <w:rPr>
          <w:rFonts w:ascii="Times New Roman" w:hAnsi="Times New Roman" w:cs="Times New Roman"/>
        </w:rPr>
        <w:t>) меры, документально оформленные и размещенные на официальных сайтах Правительства России, Банка России и профильных министерств и ведомств выделены голубым фоном.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3144059"/>
      <w:docPartObj>
        <w:docPartGallery w:val="Page Numbers (Top of Page)"/>
        <w:docPartUnique/>
      </w:docPartObj>
    </w:sdtPr>
    <w:sdtEndPr/>
    <w:sdtContent>
      <w:p w14:paraId="110D6921" w14:textId="5477A5E6" w:rsidR="00EE47C0" w:rsidRDefault="00EE47C0">
        <w:pPr>
          <w:pStyle w:val="a6"/>
          <w:jc w:val="right"/>
        </w:pPr>
        <w:r>
          <w:fldChar w:fldCharType="begin"/>
        </w:r>
        <w:r>
          <w:instrText>PAGE   \* MERGEFORMAT</w:instrText>
        </w:r>
        <w:r>
          <w:fldChar w:fldCharType="separate"/>
        </w:r>
        <w:r w:rsidR="00344645">
          <w:rPr>
            <w:noProof/>
          </w:rPr>
          <w:t>2</w:t>
        </w:r>
        <w:r>
          <w:fldChar w:fldCharType="end"/>
        </w:r>
      </w:p>
    </w:sdtContent>
  </w:sdt>
  <w:p w14:paraId="4A86CE0F" w14:textId="77777777" w:rsidR="00EE47C0" w:rsidRDefault="00EE47C0">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AA3E38"/>
    <w:multiLevelType w:val="multilevel"/>
    <w:tmpl w:val="787CAF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356746"/>
    <w:multiLevelType w:val="multilevel"/>
    <w:tmpl w:val="8C62FF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FE35552"/>
    <w:multiLevelType w:val="hybridMultilevel"/>
    <w:tmpl w:val="DD4A0BA4"/>
    <w:lvl w:ilvl="0" w:tplc="79C878EA">
      <w:start w:val="1"/>
      <w:numFmt w:val="bullet"/>
      <w:lvlText w:val=""/>
      <w:lvlJc w:val="left"/>
      <w:pPr>
        <w:ind w:left="720" w:hanging="360"/>
      </w:pPr>
      <w:rPr>
        <w:rFonts w:ascii="Wingdings" w:hAnsi="Wingdings" w:hint="default"/>
        <w:color w:val="44546A" w:themeColor="text2"/>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1361B12"/>
    <w:multiLevelType w:val="multilevel"/>
    <w:tmpl w:val="6FB4C7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4D4710D"/>
    <w:multiLevelType w:val="multilevel"/>
    <w:tmpl w:val="803CED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080F21"/>
    <w:multiLevelType w:val="multilevel"/>
    <w:tmpl w:val="364A0A2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6702C8E"/>
    <w:multiLevelType w:val="multilevel"/>
    <w:tmpl w:val="EAC406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7707B1A"/>
    <w:multiLevelType w:val="multilevel"/>
    <w:tmpl w:val="DF7E85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B777A23"/>
    <w:multiLevelType w:val="multilevel"/>
    <w:tmpl w:val="B2AE5A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0DB463B"/>
    <w:multiLevelType w:val="multilevel"/>
    <w:tmpl w:val="29A887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24E4EF8"/>
    <w:multiLevelType w:val="hybridMultilevel"/>
    <w:tmpl w:val="9B56BA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493D94"/>
    <w:multiLevelType w:val="hybridMultilevel"/>
    <w:tmpl w:val="162AADD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62383CE6"/>
    <w:multiLevelType w:val="multilevel"/>
    <w:tmpl w:val="168A31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761FA7"/>
    <w:multiLevelType w:val="hybridMultilevel"/>
    <w:tmpl w:val="04C66C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3B0020F"/>
    <w:multiLevelType w:val="multilevel"/>
    <w:tmpl w:val="383805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10"/>
  </w:num>
  <w:num w:numId="2">
    <w:abstractNumId w:val="13"/>
  </w:num>
  <w:num w:numId="3">
    <w:abstractNumId w:val="7"/>
  </w:num>
  <w:num w:numId="4">
    <w:abstractNumId w:val="14"/>
  </w:num>
  <w:num w:numId="5">
    <w:abstractNumId w:val="0"/>
  </w:num>
  <w:num w:numId="6">
    <w:abstractNumId w:val="4"/>
  </w:num>
  <w:num w:numId="7">
    <w:abstractNumId w:val="1"/>
  </w:num>
  <w:num w:numId="8">
    <w:abstractNumId w:val="8"/>
  </w:num>
  <w:num w:numId="9">
    <w:abstractNumId w:val="12"/>
  </w:num>
  <w:num w:numId="10">
    <w:abstractNumId w:val="6"/>
  </w:num>
  <w:num w:numId="11">
    <w:abstractNumId w:val="3"/>
  </w:num>
  <w:num w:numId="12">
    <w:abstractNumId w:val="5"/>
  </w:num>
  <w:num w:numId="13">
    <w:abstractNumId w:val="9"/>
  </w:num>
  <w:num w:numId="14">
    <w:abstractNumId w:val="11"/>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69D1"/>
    <w:rsid w:val="000018D8"/>
    <w:rsid w:val="00003E6B"/>
    <w:rsid w:val="00004710"/>
    <w:rsid w:val="00005C16"/>
    <w:rsid w:val="000104C7"/>
    <w:rsid w:val="000109B9"/>
    <w:rsid w:val="00010CAD"/>
    <w:rsid w:val="00011F30"/>
    <w:rsid w:val="00012011"/>
    <w:rsid w:val="00012711"/>
    <w:rsid w:val="00012BDA"/>
    <w:rsid w:val="000167CE"/>
    <w:rsid w:val="00024D9A"/>
    <w:rsid w:val="00026C7C"/>
    <w:rsid w:val="00027415"/>
    <w:rsid w:val="000311D8"/>
    <w:rsid w:val="000329CF"/>
    <w:rsid w:val="000361EE"/>
    <w:rsid w:val="00036E04"/>
    <w:rsid w:val="000378B0"/>
    <w:rsid w:val="00037D32"/>
    <w:rsid w:val="00044335"/>
    <w:rsid w:val="00045F20"/>
    <w:rsid w:val="00050DD0"/>
    <w:rsid w:val="00051C93"/>
    <w:rsid w:val="0005254D"/>
    <w:rsid w:val="00054673"/>
    <w:rsid w:val="0005471B"/>
    <w:rsid w:val="00061DCA"/>
    <w:rsid w:val="000622DC"/>
    <w:rsid w:val="00066F4F"/>
    <w:rsid w:val="00080EAE"/>
    <w:rsid w:val="00082404"/>
    <w:rsid w:val="00083C45"/>
    <w:rsid w:val="00083E85"/>
    <w:rsid w:val="00083F54"/>
    <w:rsid w:val="00096C02"/>
    <w:rsid w:val="000A057E"/>
    <w:rsid w:val="000A0DCE"/>
    <w:rsid w:val="000A1EA2"/>
    <w:rsid w:val="000A2327"/>
    <w:rsid w:val="000A3F6A"/>
    <w:rsid w:val="000A7124"/>
    <w:rsid w:val="000B0AD7"/>
    <w:rsid w:val="000B129C"/>
    <w:rsid w:val="000B359A"/>
    <w:rsid w:val="000B445A"/>
    <w:rsid w:val="000B7E87"/>
    <w:rsid w:val="000C0A8A"/>
    <w:rsid w:val="000C11A8"/>
    <w:rsid w:val="000C1724"/>
    <w:rsid w:val="000C22B3"/>
    <w:rsid w:val="000C384D"/>
    <w:rsid w:val="000C3C6A"/>
    <w:rsid w:val="000C72D2"/>
    <w:rsid w:val="000D2074"/>
    <w:rsid w:val="000D2277"/>
    <w:rsid w:val="000D39C7"/>
    <w:rsid w:val="000E0D28"/>
    <w:rsid w:val="000E1ADE"/>
    <w:rsid w:val="000E42F1"/>
    <w:rsid w:val="000E62B3"/>
    <w:rsid w:val="000E719B"/>
    <w:rsid w:val="000F2E61"/>
    <w:rsid w:val="000F4C36"/>
    <w:rsid w:val="000F6FDC"/>
    <w:rsid w:val="000F7BC8"/>
    <w:rsid w:val="00102CAC"/>
    <w:rsid w:val="00103621"/>
    <w:rsid w:val="00103BCC"/>
    <w:rsid w:val="00105575"/>
    <w:rsid w:val="00106D9B"/>
    <w:rsid w:val="001109C2"/>
    <w:rsid w:val="00111864"/>
    <w:rsid w:val="00112A17"/>
    <w:rsid w:val="00114B24"/>
    <w:rsid w:val="00115014"/>
    <w:rsid w:val="00116D12"/>
    <w:rsid w:val="00120477"/>
    <w:rsid w:val="001210FB"/>
    <w:rsid w:val="00126B23"/>
    <w:rsid w:val="00126E4B"/>
    <w:rsid w:val="00127C49"/>
    <w:rsid w:val="00131945"/>
    <w:rsid w:val="00133C41"/>
    <w:rsid w:val="001373F1"/>
    <w:rsid w:val="00137759"/>
    <w:rsid w:val="00147BFD"/>
    <w:rsid w:val="0015076B"/>
    <w:rsid w:val="00153659"/>
    <w:rsid w:val="001555C1"/>
    <w:rsid w:val="001556C8"/>
    <w:rsid w:val="00155DBD"/>
    <w:rsid w:val="00163373"/>
    <w:rsid w:val="001664BD"/>
    <w:rsid w:val="001750C8"/>
    <w:rsid w:val="00175DBB"/>
    <w:rsid w:val="0018025B"/>
    <w:rsid w:val="00180393"/>
    <w:rsid w:val="0019029C"/>
    <w:rsid w:val="00191233"/>
    <w:rsid w:val="00191E16"/>
    <w:rsid w:val="001947F1"/>
    <w:rsid w:val="001954D4"/>
    <w:rsid w:val="00195AB4"/>
    <w:rsid w:val="001A3112"/>
    <w:rsid w:val="001A3FD9"/>
    <w:rsid w:val="001A4011"/>
    <w:rsid w:val="001A63D7"/>
    <w:rsid w:val="001A6B32"/>
    <w:rsid w:val="001A6D47"/>
    <w:rsid w:val="001B0D2C"/>
    <w:rsid w:val="001B1CD6"/>
    <w:rsid w:val="001C53A2"/>
    <w:rsid w:val="001D1BCA"/>
    <w:rsid w:val="001D1D4B"/>
    <w:rsid w:val="001D54AE"/>
    <w:rsid w:val="001D5EFB"/>
    <w:rsid w:val="001D690A"/>
    <w:rsid w:val="001D7735"/>
    <w:rsid w:val="001D77C4"/>
    <w:rsid w:val="001E0B26"/>
    <w:rsid w:val="001E0E30"/>
    <w:rsid w:val="001E3715"/>
    <w:rsid w:val="001E4FCE"/>
    <w:rsid w:val="001E61F3"/>
    <w:rsid w:val="001E7D78"/>
    <w:rsid w:val="001F0C6B"/>
    <w:rsid w:val="001F10FF"/>
    <w:rsid w:val="001F27F3"/>
    <w:rsid w:val="001F5D02"/>
    <w:rsid w:val="00201E96"/>
    <w:rsid w:val="002028E7"/>
    <w:rsid w:val="00203AF0"/>
    <w:rsid w:val="0020413D"/>
    <w:rsid w:val="00216281"/>
    <w:rsid w:val="002179B5"/>
    <w:rsid w:val="0022013C"/>
    <w:rsid w:val="00221047"/>
    <w:rsid w:val="002236BA"/>
    <w:rsid w:val="0022401E"/>
    <w:rsid w:val="002266FF"/>
    <w:rsid w:val="00227EA5"/>
    <w:rsid w:val="00231C68"/>
    <w:rsid w:val="00236836"/>
    <w:rsid w:val="002377E4"/>
    <w:rsid w:val="00237AEE"/>
    <w:rsid w:val="00237B36"/>
    <w:rsid w:val="0024302A"/>
    <w:rsid w:val="0024310C"/>
    <w:rsid w:val="00245830"/>
    <w:rsid w:val="00246492"/>
    <w:rsid w:val="00247638"/>
    <w:rsid w:val="002551A7"/>
    <w:rsid w:val="00262254"/>
    <w:rsid w:val="002626F2"/>
    <w:rsid w:val="00265678"/>
    <w:rsid w:val="0026661A"/>
    <w:rsid w:val="00267D74"/>
    <w:rsid w:val="00270885"/>
    <w:rsid w:val="0027569C"/>
    <w:rsid w:val="0027606A"/>
    <w:rsid w:val="00276915"/>
    <w:rsid w:val="002804B5"/>
    <w:rsid w:val="00282D02"/>
    <w:rsid w:val="00284C88"/>
    <w:rsid w:val="002871AD"/>
    <w:rsid w:val="00293921"/>
    <w:rsid w:val="00293EA1"/>
    <w:rsid w:val="002949A4"/>
    <w:rsid w:val="00295C9B"/>
    <w:rsid w:val="00296A50"/>
    <w:rsid w:val="002A6336"/>
    <w:rsid w:val="002B154D"/>
    <w:rsid w:val="002B3889"/>
    <w:rsid w:val="002B423E"/>
    <w:rsid w:val="002B48F5"/>
    <w:rsid w:val="002C4F30"/>
    <w:rsid w:val="002C4FB6"/>
    <w:rsid w:val="002C7B85"/>
    <w:rsid w:val="002D0049"/>
    <w:rsid w:val="002D26A4"/>
    <w:rsid w:val="002D28EC"/>
    <w:rsid w:val="002D3230"/>
    <w:rsid w:val="002D4DBD"/>
    <w:rsid w:val="002D5B2C"/>
    <w:rsid w:val="002E1E8E"/>
    <w:rsid w:val="002E41B9"/>
    <w:rsid w:val="002E4B36"/>
    <w:rsid w:val="002E5F60"/>
    <w:rsid w:val="002E7614"/>
    <w:rsid w:val="002F0E07"/>
    <w:rsid w:val="002F0F6F"/>
    <w:rsid w:val="002F3014"/>
    <w:rsid w:val="002F4B22"/>
    <w:rsid w:val="002F5B59"/>
    <w:rsid w:val="00300AAD"/>
    <w:rsid w:val="00300CDA"/>
    <w:rsid w:val="00304ED7"/>
    <w:rsid w:val="003050D1"/>
    <w:rsid w:val="003052B8"/>
    <w:rsid w:val="00307789"/>
    <w:rsid w:val="00307C8E"/>
    <w:rsid w:val="003102AF"/>
    <w:rsid w:val="00310F37"/>
    <w:rsid w:val="00311DE8"/>
    <w:rsid w:val="003146CA"/>
    <w:rsid w:val="00314A3B"/>
    <w:rsid w:val="00316C78"/>
    <w:rsid w:val="00317675"/>
    <w:rsid w:val="003226AF"/>
    <w:rsid w:val="003251C5"/>
    <w:rsid w:val="00326661"/>
    <w:rsid w:val="003277CA"/>
    <w:rsid w:val="0033506B"/>
    <w:rsid w:val="00336EBF"/>
    <w:rsid w:val="0033777E"/>
    <w:rsid w:val="003408DF"/>
    <w:rsid w:val="00341AAB"/>
    <w:rsid w:val="00342744"/>
    <w:rsid w:val="00343C5B"/>
    <w:rsid w:val="00344645"/>
    <w:rsid w:val="0035052A"/>
    <w:rsid w:val="003559A3"/>
    <w:rsid w:val="00360900"/>
    <w:rsid w:val="00362C23"/>
    <w:rsid w:val="00362FA6"/>
    <w:rsid w:val="0036360E"/>
    <w:rsid w:val="00363F57"/>
    <w:rsid w:val="003716B2"/>
    <w:rsid w:val="003731BC"/>
    <w:rsid w:val="00377335"/>
    <w:rsid w:val="00380C49"/>
    <w:rsid w:val="003858A4"/>
    <w:rsid w:val="00387F81"/>
    <w:rsid w:val="00393BEE"/>
    <w:rsid w:val="003958B8"/>
    <w:rsid w:val="003963B9"/>
    <w:rsid w:val="003A007B"/>
    <w:rsid w:val="003A70A1"/>
    <w:rsid w:val="003B2504"/>
    <w:rsid w:val="003B299A"/>
    <w:rsid w:val="003B5B22"/>
    <w:rsid w:val="003C1C0A"/>
    <w:rsid w:val="003C1C67"/>
    <w:rsid w:val="003D5719"/>
    <w:rsid w:val="003D7A1C"/>
    <w:rsid w:val="003E2613"/>
    <w:rsid w:val="003E622E"/>
    <w:rsid w:val="003E70B0"/>
    <w:rsid w:val="003F013E"/>
    <w:rsid w:val="003F03A3"/>
    <w:rsid w:val="003F5309"/>
    <w:rsid w:val="003F6A48"/>
    <w:rsid w:val="003F788A"/>
    <w:rsid w:val="003F7E8D"/>
    <w:rsid w:val="004006F4"/>
    <w:rsid w:val="004101C2"/>
    <w:rsid w:val="00411AD6"/>
    <w:rsid w:val="00413858"/>
    <w:rsid w:val="00414743"/>
    <w:rsid w:val="00420079"/>
    <w:rsid w:val="004222C5"/>
    <w:rsid w:val="00426B95"/>
    <w:rsid w:val="00427DF4"/>
    <w:rsid w:val="004356D1"/>
    <w:rsid w:val="004449ED"/>
    <w:rsid w:val="00446D1D"/>
    <w:rsid w:val="004504CD"/>
    <w:rsid w:val="00453BCB"/>
    <w:rsid w:val="00455012"/>
    <w:rsid w:val="00455B70"/>
    <w:rsid w:val="00457238"/>
    <w:rsid w:val="0046040E"/>
    <w:rsid w:val="004616F3"/>
    <w:rsid w:val="00461C0B"/>
    <w:rsid w:val="0046327E"/>
    <w:rsid w:val="0046390F"/>
    <w:rsid w:val="0046656C"/>
    <w:rsid w:val="00466F8F"/>
    <w:rsid w:val="004678F0"/>
    <w:rsid w:val="00467A7C"/>
    <w:rsid w:val="00471C87"/>
    <w:rsid w:val="00473619"/>
    <w:rsid w:val="0047378C"/>
    <w:rsid w:val="004751F8"/>
    <w:rsid w:val="00475EDD"/>
    <w:rsid w:val="00480648"/>
    <w:rsid w:val="00480EBF"/>
    <w:rsid w:val="0048265B"/>
    <w:rsid w:val="004920F1"/>
    <w:rsid w:val="0049477A"/>
    <w:rsid w:val="00495481"/>
    <w:rsid w:val="00497EF4"/>
    <w:rsid w:val="004A10D2"/>
    <w:rsid w:val="004A23E5"/>
    <w:rsid w:val="004A4D66"/>
    <w:rsid w:val="004B14BC"/>
    <w:rsid w:val="004B17D5"/>
    <w:rsid w:val="004B1CF0"/>
    <w:rsid w:val="004B2ADE"/>
    <w:rsid w:val="004B4323"/>
    <w:rsid w:val="004C31A3"/>
    <w:rsid w:val="004C38AE"/>
    <w:rsid w:val="004C456E"/>
    <w:rsid w:val="004C777D"/>
    <w:rsid w:val="004C7CCE"/>
    <w:rsid w:val="004D0117"/>
    <w:rsid w:val="004D0B74"/>
    <w:rsid w:val="004D0EB0"/>
    <w:rsid w:val="004D36DC"/>
    <w:rsid w:val="004D3CDF"/>
    <w:rsid w:val="004D534B"/>
    <w:rsid w:val="004D7D50"/>
    <w:rsid w:val="004E3C6F"/>
    <w:rsid w:val="004E571A"/>
    <w:rsid w:val="004E5C25"/>
    <w:rsid w:val="004F358C"/>
    <w:rsid w:val="004F3FBF"/>
    <w:rsid w:val="004F585B"/>
    <w:rsid w:val="004F5D2B"/>
    <w:rsid w:val="004F6572"/>
    <w:rsid w:val="005000DC"/>
    <w:rsid w:val="005006EF"/>
    <w:rsid w:val="00500FB5"/>
    <w:rsid w:val="005012C6"/>
    <w:rsid w:val="00505AB9"/>
    <w:rsid w:val="005100C0"/>
    <w:rsid w:val="00513A96"/>
    <w:rsid w:val="00517BAB"/>
    <w:rsid w:val="0052156A"/>
    <w:rsid w:val="0052289D"/>
    <w:rsid w:val="00523065"/>
    <w:rsid w:val="00524606"/>
    <w:rsid w:val="00527287"/>
    <w:rsid w:val="005330DF"/>
    <w:rsid w:val="005340A8"/>
    <w:rsid w:val="005401BC"/>
    <w:rsid w:val="0054209D"/>
    <w:rsid w:val="0054426B"/>
    <w:rsid w:val="00546D3D"/>
    <w:rsid w:val="005510C6"/>
    <w:rsid w:val="0055264B"/>
    <w:rsid w:val="00553591"/>
    <w:rsid w:val="005544F6"/>
    <w:rsid w:val="005546C8"/>
    <w:rsid w:val="00555397"/>
    <w:rsid w:val="00560778"/>
    <w:rsid w:val="0056171A"/>
    <w:rsid w:val="00561921"/>
    <w:rsid w:val="00561CA4"/>
    <w:rsid w:val="005655F8"/>
    <w:rsid w:val="005669D1"/>
    <w:rsid w:val="00572F36"/>
    <w:rsid w:val="005804BB"/>
    <w:rsid w:val="0058060C"/>
    <w:rsid w:val="005831F9"/>
    <w:rsid w:val="0058524C"/>
    <w:rsid w:val="00585D58"/>
    <w:rsid w:val="005904EB"/>
    <w:rsid w:val="00591D3E"/>
    <w:rsid w:val="00592B16"/>
    <w:rsid w:val="00594865"/>
    <w:rsid w:val="00596FB1"/>
    <w:rsid w:val="005A0175"/>
    <w:rsid w:val="005A05C5"/>
    <w:rsid w:val="005A10FF"/>
    <w:rsid w:val="005A138A"/>
    <w:rsid w:val="005A3233"/>
    <w:rsid w:val="005A3DBC"/>
    <w:rsid w:val="005A5BF5"/>
    <w:rsid w:val="005A602E"/>
    <w:rsid w:val="005A61C7"/>
    <w:rsid w:val="005A7084"/>
    <w:rsid w:val="005B2B16"/>
    <w:rsid w:val="005B558E"/>
    <w:rsid w:val="005B5CC1"/>
    <w:rsid w:val="005B731C"/>
    <w:rsid w:val="005C0B09"/>
    <w:rsid w:val="005C1FFB"/>
    <w:rsid w:val="005C2F09"/>
    <w:rsid w:val="005D146E"/>
    <w:rsid w:val="005D2330"/>
    <w:rsid w:val="005D2EB0"/>
    <w:rsid w:val="005E0D14"/>
    <w:rsid w:val="005E1323"/>
    <w:rsid w:val="005E3204"/>
    <w:rsid w:val="005E4E40"/>
    <w:rsid w:val="005E65AD"/>
    <w:rsid w:val="005E7D5B"/>
    <w:rsid w:val="005F7839"/>
    <w:rsid w:val="005F7B2E"/>
    <w:rsid w:val="005F7E9D"/>
    <w:rsid w:val="00600A92"/>
    <w:rsid w:val="00604D6A"/>
    <w:rsid w:val="00604EF9"/>
    <w:rsid w:val="0060570E"/>
    <w:rsid w:val="00606193"/>
    <w:rsid w:val="006119D1"/>
    <w:rsid w:val="00621D2F"/>
    <w:rsid w:val="00622463"/>
    <w:rsid w:val="00622A63"/>
    <w:rsid w:val="006230A3"/>
    <w:rsid w:val="006238E5"/>
    <w:rsid w:val="00623C7B"/>
    <w:rsid w:val="0062419F"/>
    <w:rsid w:val="00624F3F"/>
    <w:rsid w:val="0063088D"/>
    <w:rsid w:val="00631AEC"/>
    <w:rsid w:val="00631AFC"/>
    <w:rsid w:val="006339C9"/>
    <w:rsid w:val="006343F0"/>
    <w:rsid w:val="00635417"/>
    <w:rsid w:val="00637A0F"/>
    <w:rsid w:val="006425C9"/>
    <w:rsid w:val="00643AFF"/>
    <w:rsid w:val="0064456B"/>
    <w:rsid w:val="006462ED"/>
    <w:rsid w:val="00646A82"/>
    <w:rsid w:val="006473BF"/>
    <w:rsid w:val="0066057E"/>
    <w:rsid w:val="00662D82"/>
    <w:rsid w:val="00666D47"/>
    <w:rsid w:val="006676BF"/>
    <w:rsid w:val="00667762"/>
    <w:rsid w:val="00670035"/>
    <w:rsid w:val="0067008B"/>
    <w:rsid w:val="0067419F"/>
    <w:rsid w:val="006760AD"/>
    <w:rsid w:val="006763AB"/>
    <w:rsid w:val="0068030A"/>
    <w:rsid w:val="00686827"/>
    <w:rsid w:val="00694453"/>
    <w:rsid w:val="0069714B"/>
    <w:rsid w:val="006A2432"/>
    <w:rsid w:val="006A4FC5"/>
    <w:rsid w:val="006B11EB"/>
    <w:rsid w:val="006B20B0"/>
    <w:rsid w:val="006B2CD4"/>
    <w:rsid w:val="006C16B0"/>
    <w:rsid w:val="006C262B"/>
    <w:rsid w:val="006D2BE9"/>
    <w:rsid w:val="006D4BBC"/>
    <w:rsid w:val="006D7CB6"/>
    <w:rsid w:val="006E3319"/>
    <w:rsid w:val="006E5755"/>
    <w:rsid w:val="006E5934"/>
    <w:rsid w:val="006E68DE"/>
    <w:rsid w:val="006E7AC7"/>
    <w:rsid w:val="006F24B7"/>
    <w:rsid w:val="006F523F"/>
    <w:rsid w:val="006F7E3B"/>
    <w:rsid w:val="00704194"/>
    <w:rsid w:val="00705AB2"/>
    <w:rsid w:val="00707DB5"/>
    <w:rsid w:val="00710DA8"/>
    <w:rsid w:val="00713943"/>
    <w:rsid w:val="00716814"/>
    <w:rsid w:val="00716F29"/>
    <w:rsid w:val="0072222E"/>
    <w:rsid w:val="00726EE2"/>
    <w:rsid w:val="00731F01"/>
    <w:rsid w:val="00735815"/>
    <w:rsid w:val="007365B1"/>
    <w:rsid w:val="00740246"/>
    <w:rsid w:val="007419C4"/>
    <w:rsid w:val="007427C9"/>
    <w:rsid w:val="00744EEE"/>
    <w:rsid w:val="00745762"/>
    <w:rsid w:val="00745EE8"/>
    <w:rsid w:val="00747634"/>
    <w:rsid w:val="0074781A"/>
    <w:rsid w:val="00750551"/>
    <w:rsid w:val="00753797"/>
    <w:rsid w:val="00755A83"/>
    <w:rsid w:val="00756F91"/>
    <w:rsid w:val="00757A78"/>
    <w:rsid w:val="0076029D"/>
    <w:rsid w:val="007652D3"/>
    <w:rsid w:val="0076564D"/>
    <w:rsid w:val="00766535"/>
    <w:rsid w:val="00766679"/>
    <w:rsid w:val="00767135"/>
    <w:rsid w:val="00770744"/>
    <w:rsid w:val="00771321"/>
    <w:rsid w:val="00772F1B"/>
    <w:rsid w:val="00775253"/>
    <w:rsid w:val="00775604"/>
    <w:rsid w:val="00776C3B"/>
    <w:rsid w:val="00782418"/>
    <w:rsid w:val="007831BA"/>
    <w:rsid w:val="0078505E"/>
    <w:rsid w:val="0078749D"/>
    <w:rsid w:val="00791546"/>
    <w:rsid w:val="00792347"/>
    <w:rsid w:val="0079560E"/>
    <w:rsid w:val="007959F5"/>
    <w:rsid w:val="007975BE"/>
    <w:rsid w:val="007A15E3"/>
    <w:rsid w:val="007A40FA"/>
    <w:rsid w:val="007A489A"/>
    <w:rsid w:val="007A5F8F"/>
    <w:rsid w:val="007A7806"/>
    <w:rsid w:val="007B24B5"/>
    <w:rsid w:val="007B4731"/>
    <w:rsid w:val="007B7431"/>
    <w:rsid w:val="007C55F9"/>
    <w:rsid w:val="007D2CEA"/>
    <w:rsid w:val="007D30D3"/>
    <w:rsid w:val="007D387C"/>
    <w:rsid w:val="007E10E9"/>
    <w:rsid w:val="007E2744"/>
    <w:rsid w:val="007E4F2C"/>
    <w:rsid w:val="007F12D3"/>
    <w:rsid w:val="007F2074"/>
    <w:rsid w:val="007F30A9"/>
    <w:rsid w:val="007F70E5"/>
    <w:rsid w:val="007F7791"/>
    <w:rsid w:val="00801F2E"/>
    <w:rsid w:val="00804D14"/>
    <w:rsid w:val="00813C4D"/>
    <w:rsid w:val="00816559"/>
    <w:rsid w:val="00821859"/>
    <w:rsid w:val="00835EF0"/>
    <w:rsid w:val="0084080B"/>
    <w:rsid w:val="00842CEC"/>
    <w:rsid w:val="00844670"/>
    <w:rsid w:val="008461C0"/>
    <w:rsid w:val="00847BD9"/>
    <w:rsid w:val="008523D7"/>
    <w:rsid w:val="00853AC5"/>
    <w:rsid w:val="00853F91"/>
    <w:rsid w:val="00855386"/>
    <w:rsid w:val="00855BC5"/>
    <w:rsid w:val="008579F7"/>
    <w:rsid w:val="008622DB"/>
    <w:rsid w:val="0086366A"/>
    <w:rsid w:val="00865B87"/>
    <w:rsid w:val="00865F72"/>
    <w:rsid w:val="00872E85"/>
    <w:rsid w:val="008738A9"/>
    <w:rsid w:val="0087390B"/>
    <w:rsid w:val="008824B2"/>
    <w:rsid w:val="00882BF5"/>
    <w:rsid w:val="008864E4"/>
    <w:rsid w:val="00886A03"/>
    <w:rsid w:val="00892741"/>
    <w:rsid w:val="008965E5"/>
    <w:rsid w:val="00897B3F"/>
    <w:rsid w:val="008A0E50"/>
    <w:rsid w:val="008A1704"/>
    <w:rsid w:val="008A4FFC"/>
    <w:rsid w:val="008B1A75"/>
    <w:rsid w:val="008B4426"/>
    <w:rsid w:val="008B4858"/>
    <w:rsid w:val="008B4D0E"/>
    <w:rsid w:val="008B7C84"/>
    <w:rsid w:val="008C12EE"/>
    <w:rsid w:val="008C4732"/>
    <w:rsid w:val="008C5861"/>
    <w:rsid w:val="008D0393"/>
    <w:rsid w:val="008D4DEE"/>
    <w:rsid w:val="008D6705"/>
    <w:rsid w:val="008D6FC4"/>
    <w:rsid w:val="008E05BD"/>
    <w:rsid w:val="008E31D9"/>
    <w:rsid w:val="008E3678"/>
    <w:rsid w:val="008E59E3"/>
    <w:rsid w:val="008F2C70"/>
    <w:rsid w:val="008F39CE"/>
    <w:rsid w:val="008F4C42"/>
    <w:rsid w:val="008F6EB1"/>
    <w:rsid w:val="00900825"/>
    <w:rsid w:val="00900B11"/>
    <w:rsid w:val="00901DCC"/>
    <w:rsid w:val="00903207"/>
    <w:rsid w:val="00905825"/>
    <w:rsid w:val="009129A2"/>
    <w:rsid w:val="00913080"/>
    <w:rsid w:val="009130CE"/>
    <w:rsid w:val="00915133"/>
    <w:rsid w:val="009158C1"/>
    <w:rsid w:val="00915D5C"/>
    <w:rsid w:val="0092037E"/>
    <w:rsid w:val="00921144"/>
    <w:rsid w:val="00925BD9"/>
    <w:rsid w:val="00926210"/>
    <w:rsid w:val="00927CCC"/>
    <w:rsid w:val="00930333"/>
    <w:rsid w:val="00931186"/>
    <w:rsid w:val="009319CA"/>
    <w:rsid w:val="00933EB3"/>
    <w:rsid w:val="0093610B"/>
    <w:rsid w:val="0093671A"/>
    <w:rsid w:val="009379A8"/>
    <w:rsid w:val="009419E4"/>
    <w:rsid w:val="0094364A"/>
    <w:rsid w:val="00947249"/>
    <w:rsid w:val="0095112E"/>
    <w:rsid w:val="00953D97"/>
    <w:rsid w:val="009542DA"/>
    <w:rsid w:val="0095456C"/>
    <w:rsid w:val="00955CA1"/>
    <w:rsid w:val="00956747"/>
    <w:rsid w:val="00956B45"/>
    <w:rsid w:val="00956E1B"/>
    <w:rsid w:val="009579BF"/>
    <w:rsid w:val="009615A4"/>
    <w:rsid w:val="009620E8"/>
    <w:rsid w:val="00962A11"/>
    <w:rsid w:val="009632C3"/>
    <w:rsid w:val="009663A1"/>
    <w:rsid w:val="009706D2"/>
    <w:rsid w:val="009710D9"/>
    <w:rsid w:val="00971FE3"/>
    <w:rsid w:val="00982669"/>
    <w:rsid w:val="00982C30"/>
    <w:rsid w:val="00983C5E"/>
    <w:rsid w:val="00994827"/>
    <w:rsid w:val="00997C8D"/>
    <w:rsid w:val="009B0A1E"/>
    <w:rsid w:val="009B1CCF"/>
    <w:rsid w:val="009B2435"/>
    <w:rsid w:val="009B6966"/>
    <w:rsid w:val="009C4564"/>
    <w:rsid w:val="009C576B"/>
    <w:rsid w:val="009E16AF"/>
    <w:rsid w:val="009E2ACE"/>
    <w:rsid w:val="009E355D"/>
    <w:rsid w:val="009E51B8"/>
    <w:rsid w:val="009E724F"/>
    <w:rsid w:val="009F0470"/>
    <w:rsid w:val="009F16EB"/>
    <w:rsid w:val="009F1839"/>
    <w:rsid w:val="009F2998"/>
    <w:rsid w:val="009F46A3"/>
    <w:rsid w:val="009F6DAC"/>
    <w:rsid w:val="009F7085"/>
    <w:rsid w:val="00A05107"/>
    <w:rsid w:val="00A10A17"/>
    <w:rsid w:val="00A1176A"/>
    <w:rsid w:val="00A121B3"/>
    <w:rsid w:val="00A138D5"/>
    <w:rsid w:val="00A21D78"/>
    <w:rsid w:val="00A232C6"/>
    <w:rsid w:val="00A27025"/>
    <w:rsid w:val="00A270E3"/>
    <w:rsid w:val="00A27233"/>
    <w:rsid w:val="00A2738E"/>
    <w:rsid w:val="00A278CF"/>
    <w:rsid w:val="00A3084C"/>
    <w:rsid w:val="00A37070"/>
    <w:rsid w:val="00A4157F"/>
    <w:rsid w:val="00A41BED"/>
    <w:rsid w:val="00A4284B"/>
    <w:rsid w:val="00A460B0"/>
    <w:rsid w:val="00A54968"/>
    <w:rsid w:val="00A634A4"/>
    <w:rsid w:val="00A66425"/>
    <w:rsid w:val="00A66E08"/>
    <w:rsid w:val="00A70252"/>
    <w:rsid w:val="00A72D96"/>
    <w:rsid w:val="00A73A5B"/>
    <w:rsid w:val="00A74CE9"/>
    <w:rsid w:val="00A801D9"/>
    <w:rsid w:val="00A80AD0"/>
    <w:rsid w:val="00A873CD"/>
    <w:rsid w:val="00A873D0"/>
    <w:rsid w:val="00A87C02"/>
    <w:rsid w:val="00A93B75"/>
    <w:rsid w:val="00A97577"/>
    <w:rsid w:val="00AB5822"/>
    <w:rsid w:val="00AC0CA6"/>
    <w:rsid w:val="00AC7E74"/>
    <w:rsid w:val="00AD18BD"/>
    <w:rsid w:val="00AE09B7"/>
    <w:rsid w:val="00AE12B1"/>
    <w:rsid w:val="00AE38D5"/>
    <w:rsid w:val="00AE393A"/>
    <w:rsid w:val="00AE3D9C"/>
    <w:rsid w:val="00AE4D09"/>
    <w:rsid w:val="00AE5337"/>
    <w:rsid w:val="00AE7277"/>
    <w:rsid w:val="00AF05C0"/>
    <w:rsid w:val="00B04C5D"/>
    <w:rsid w:val="00B04D93"/>
    <w:rsid w:val="00B11923"/>
    <w:rsid w:val="00B12AB3"/>
    <w:rsid w:val="00B13247"/>
    <w:rsid w:val="00B1416D"/>
    <w:rsid w:val="00B16E54"/>
    <w:rsid w:val="00B17498"/>
    <w:rsid w:val="00B2152A"/>
    <w:rsid w:val="00B24FCF"/>
    <w:rsid w:val="00B30C4E"/>
    <w:rsid w:val="00B357DD"/>
    <w:rsid w:val="00B40733"/>
    <w:rsid w:val="00B4133F"/>
    <w:rsid w:val="00B41610"/>
    <w:rsid w:val="00B46373"/>
    <w:rsid w:val="00B52746"/>
    <w:rsid w:val="00B54F69"/>
    <w:rsid w:val="00B6459B"/>
    <w:rsid w:val="00B80166"/>
    <w:rsid w:val="00B80C5D"/>
    <w:rsid w:val="00B86B97"/>
    <w:rsid w:val="00B86BA9"/>
    <w:rsid w:val="00B86BD2"/>
    <w:rsid w:val="00B87700"/>
    <w:rsid w:val="00B9046B"/>
    <w:rsid w:val="00B9157D"/>
    <w:rsid w:val="00B9404A"/>
    <w:rsid w:val="00B95AAD"/>
    <w:rsid w:val="00B97010"/>
    <w:rsid w:val="00BA21DF"/>
    <w:rsid w:val="00BA2694"/>
    <w:rsid w:val="00BA2D10"/>
    <w:rsid w:val="00BA7F12"/>
    <w:rsid w:val="00BB1A73"/>
    <w:rsid w:val="00BB1E6D"/>
    <w:rsid w:val="00BB42D1"/>
    <w:rsid w:val="00BC17CE"/>
    <w:rsid w:val="00BC26F3"/>
    <w:rsid w:val="00BD0CD4"/>
    <w:rsid w:val="00BD0FC8"/>
    <w:rsid w:val="00BD4132"/>
    <w:rsid w:val="00BE07D4"/>
    <w:rsid w:val="00BE4683"/>
    <w:rsid w:val="00BE6F21"/>
    <w:rsid w:val="00BE6F67"/>
    <w:rsid w:val="00BF2A58"/>
    <w:rsid w:val="00BF3954"/>
    <w:rsid w:val="00BF3BA5"/>
    <w:rsid w:val="00BF792C"/>
    <w:rsid w:val="00C00933"/>
    <w:rsid w:val="00C00F2F"/>
    <w:rsid w:val="00C07A0F"/>
    <w:rsid w:val="00C110B5"/>
    <w:rsid w:val="00C11580"/>
    <w:rsid w:val="00C1162C"/>
    <w:rsid w:val="00C13CA0"/>
    <w:rsid w:val="00C13E60"/>
    <w:rsid w:val="00C14E10"/>
    <w:rsid w:val="00C150E2"/>
    <w:rsid w:val="00C15BD2"/>
    <w:rsid w:val="00C16682"/>
    <w:rsid w:val="00C210D4"/>
    <w:rsid w:val="00C21304"/>
    <w:rsid w:val="00C3496A"/>
    <w:rsid w:val="00C34A3E"/>
    <w:rsid w:val="00C3793C"/>
    <w:rsid w:val="00C41335"/>
    <w:rsid w:val="00C417F9"/>
    <w:rsid w:val="00C4645C"/>
    <w:rsid w:val="00C54A15"/>
    <w:rsid w:val="00C54D35"/>
    <w:rsid w:val="00C55513"/>
    <w:rsid w:val="00C62BD4"/>
    <w:rsid w:val="00C63536"/>
    <w:rsid w:val="00C72D5E"/>
    <w:rsid w:val="00C81A08"/>
    <w:rsid w:val="00C81D9F"/>
    <w:rsid w:val="00C830A9"/>
    <w:rsid w:val="00C833F3"/>
    <w:rsid w:val="00C94A51"/>
    <w:rsid w:val="00C97A1D"/>
    <w:rsid w:val="00CA1C34"/>
    <w:rsid w:val="00CA37E7"/>
    <w:rsid w:val="00CA42B9"/>
    <w:rsid w:val="00CA52AD"/>
    <w:rsid w:val="00CB1795"/>
    <w:rsid w:val="00CB4B33"/>
    <w:rsid w:val="00CB6395"/>
    <w:rsid w:val="00CC0AC3"/>
    <w:rsid w:val="00CC2C64"/>
    <w:rsid w:val="00CC4A03"/>
    <w:rsid w:val="00CC547F"/>
    <w:rsid w:val="00CC6C61"/>
    <w:rsid w:val="00CD73C9"/>
    <w:rsid w:val="00CE4323"/>
    <w:rsid w:val="00CE467B"/>
    <w:rsid w:val="00CE49CE"/>
    <w:rsid w:val="00CE7BCC"/>
    <w:rsid w:val="00CF2C37"/>
    <w:rsid w:val="00CF3833"/>
    <w:rsid w:val="00CF486F"/>
    <w:rsid w:val="00CF78A1"/>
    <w:rsid w:val="00D005C7"/>
    <w:rsid w:val="00D0098A"/>
    <w:rsid w:val="00D04776"/>
    <w:rsid w:val="00D107E7"/>
    <w:rsid w:val="00D1198E"/>
    <w:rsid w:val="00D1397B"/>
    <w:rsid w:val="00D2036D"/>
    <w:rsid w:val="00D20A99"/>
    <w:rsid w:val="00D2278F"/>
    <w:rsid w:val="00D229F2"/>
    <w:rsid w:val="00D23559"/>
    <w:rsid w:val="00D3289A"/>
    <w:rsid w:val="00D32BF3"/>
    <w:rsid w:val="00D358F4"/>
    <w:rsid w:val="00D41592"/>
    <w:rsid w:val="00D43042"/>
    <w:rsid w:val="00D45438"/>
    <w:rsid w:val="00D5012A"/>
    <w:rsid w:val="00D51B63"/>
    <w:rsid w:val="00D55244"/>
    <w:rsid w:val="00D608C8"/>
    <w:rsid w:val="00D632D4"/>
    <w:rsid w:val="00D66256"/>
    <w:rsid w:val="00D704AD"/>
    <w:rsid w:val="00D71898"/>
    <w:rsid w:val="00D73D8B"/>
    <w:rsid w:val="00D7544C"/>
    <w:rsid w:val="00D8039C"/>
    <w:rsid w:val="00D9041F"/>
    <w:rsid w:val="00D9094C"/>
    <w:rsid w:val="00D94D3D"/>
    <w:rsid w:val="00D96E33"/>
    <w:rsid w:val="00D96F64"/>
    <w:rsid w:val="00DA12DC"/>
    <w:rsid w:val="00DA2B7E"/>
    <w:rsid w:val="00DA32B4"/>
    <w:rsid w:val="00DA3C7E"/>
    <w:rsid w:val="00DA543E"/>
    <w:rsid w:val="00DB0392"/>
    <w:rsid w:val="00DB1684"/>
    <w:rsid w:val="00DB26FF"/>
    <w:rsid w:val="00DB2B5F"/>
    <w:rsid w:val="00DB2B93"/>
    <w:rsid w:val="00DB4028"/>
    <w:rsid w:val="00DB5F8D"/>
    <w:rsid w:val="00DB6F70"/>
    <w:rsid w:val="00DD0A4C"/>
    <w:rsid w:val="00DD0FF3"/>
    <w:rsid w:val="00DD708C"/>
    <w:rsid w:val="00DE3C5C"/>
    <w:rsid w:val="00DE5294"/>
    <w:rsid w:val="00DE6481"/>
    <w:rsid w:val="00DE6585"/>
    <w:rsid w:val="00DE6B9B"/>
    <w:rsid w:val="00DE73B2"/>
    <w:rsid w:val="00DF1C03"/>
    <w:rsid w:val="00DF6C4F"/>
    <w:rsid w:val="00E01A99"/>
    <w:rsid w:val="00E02C08"/>
    <w:rsid w:val="00E07682"/>
    <w:rsid w:val="00E07B64"/>
    <w:rsid w:val="00E11949"/>
    <w:rsid w:val="00E16287"/>
    <w:rsid w:val="00E20284"/>
    <w:rsid w:val="00E211DF"/>
    <w:rsid w:val="00E24F1D"/>
    <w:rsid w:val="00E30EF4"/>
    <w:rsid w:val="00E315C1"/>
    <w:rsid w:val="00E32341"/>
    <w:rsid w:val="00E3250E"/>
    <w:rsid w:val="00E33C50"/>
    <w:rsid w:val="00E35742"/>
    <w:rsid w:val="00E37192"/>
    <w:rsid w:val="00E4304A"/>
    <w:rsid w:val="00E435F2"/>
    <w:rsid w:val="00E44F15"/>
    <w:rsid w:val="00E50ADD"/>
    <w:rsid w:val="00E51EE4"/>
    <w:rsid w:val="00E524C4"/>
    <w:rsid w:val="00E528CF"/>
    <w:rsid w:val="00E566FF"/>
    <w:rsid w:val="00E6115A"/>
    <w:rsid w:val="00E62BF0"/>
    <w:rsid w:val="00E6460F"/>
    <w:rsid w:val="00E65767"/>
    <w:rsid w:val="00E67AC3"/>
    <w:rsid w:val="00E74485"/>
    <w:rsid w:val="00E759DB"/>
    <w:rsid w:val="00E766BC"/>
    <w:rsid w:val="00E767C1"/>
    <w:rsid w:val="00E76830"/>
    <w:rsid w:val="00E8036A"/>
    <w:rsid w:val="00E804E0"/>
    <w:rsid w:val="00E80558"/>
    <w:rsid w:val="00E82200"/>
    <w:rsid w:val="00E82FC3"/>
    <w:rsid w:val="00E83074"/>
    <w:rsid w:val="00E83A53"/>
    <w:rsid w:val="00E84856"/>
    <w:rsid w:val="00E870A6"/>
    <w:rsid w:val="00E87125"/>
    <w:rsid w:val="00E94D97"/>
    <w:rsid w:val="00E9656D"/>
    <w:rsid w:val="00EA0645"/>
    <w:rsid w:val="00EA1711"/>
    <w:rsid w:val="00EA4E7E"/>
    <w:rsid w:val="00EA52CF"/>
    <w:rsid w:val="00EA70A2"/>
    <w:rsid w:val="00EB03B0"/>
    <w:rsid w:val="00EB173A"/>
    <w:rsid w:val="00EB291B"/>
    <w:rsid w:val="00EB405F"/>
    <w:rsid w:val="00EB49AD"/>
    <w:rsid w:val="00EB4DD7"/>
    <w:rsid w:val="00EB6AAD"/>
    <w:rsid w:val="00EC5795"/>
    <w:rsid w:val="00EC5D36"/>
    <w:rsid w:val="00EC69F2"/>
    <w:rsid w:val="00ED1711"/>
    <w:rsid w:val="00ED1BD1"/>
    <w:rsid w:val="00ED3005"/>
    <w:rsid w:val="00ED7454"/>
    <w:rsid w:val="00EE0F43"/>
    <w:rsid w:val="00EE1CFB"/>
    <w:rsid w:val="00EE3964"/>
    <w:rsid w:val="00EE47C0"/>
    <w:rsid w:val="00EF2D12"/>
    <w:rsid w:val="00EF4223"/>
    <w:rsid w:val="00EF6B3C"/>
    <w:rsid w:val="00EF71A8"/>
    <w:rsid w:val="00EF7D0D"/>
    <w:rsid w:val="00F004FC"/>
    <w:rsid w:val="00F05816"/>
    <w:rsid w:val="00F07CE4"/>
    <w:rsid w:val="00F10141"/>
    <w:rsid w:val="00F127A0"/>
    <w:rsid w:val="00F12FA6"/>
    <w:rsid w:val="00F13942"/>
    <w:rsid w:val="00F164FF"/>
    <w:rsid w:val="00F20A86"/>
    <w:rsid w:val="00F264BB"/>
    <w:rsid w:val="00F271E9"/>
    <w:rsid w:val="00F4113A"/>
    <w:rsid w:val="00F43B54"/>
    <w:rsid w:val="00F4439D"/>
    <w:rsid w:val="00F47F73"/>
    <w:rsid w:val="00F51106"/>
    <w:rsid w:val="00F5122C"/>
    <w:rsid w:val="00F53219"/>
    <w:rsid w:val="00F55C79"/>
    <w:rsid w:val="00F66AF0"/>
    <w:rsid w:val="00F67E85"/>
    <w:rsid w:val="00F7030B"/>
    <w:rsid w:val="00F72434"/>
    <w:rsid w:val="00F72A58"/>
    <w:rsid w:val="00F76E6D"/>
    <w:rsid w:val="00F8189D"/>
    <w:rsid w:val="00F86C26"/>
    <w:rsid w:val="00F87681"/>
    <w:rsid w:val="00F935F3"/>
    <w:rsid w:val="00F93EE0"/>
    <w:rsid w:val="00FA1573"/>
    <w:rsid w:val="00FA773C"/>
    <w:rsid w:val="00FB0DE3"/>
    <w:rsid w:val="00FB5969"/>
    <w:rsid w:val="00FB5F77"/>
    <w:rsid w:val="00FB6F20"/>
    <w:rsid w:val="00FC22EF"/>
    <w:rsid w:val="00FC383E"/>
    <w:rsid w:val="00FC4BD7"/>
    <w:rsid w:val="00FC6BFA"/>
    <w:rsid w:val="00FD54EC"/>
    <w:rsid w:val="00FD680D"/>
    <w:rsid w:val="00FD6C2C"/>
    <w:rsid w:val="00FD7A8F"/>
    <w:rsid w:val="00FE5403"/>
    <w:rsid w:val="00FE6796"/>
    <w:rsid w:val="00FE69EA"/>
    <w:rsid w:val="00FE6AF9"/>
    <w:rsid w:val="00FE6CC1"/>
    <w:rsid w:val="00FE78FB"/>
    <w:rsid w:val="00FE7FF6"/>
    <w:rsid w:val="00FF2BD5"/>
    <w:rsid w:val="00FF4089"/>
    <w:rsid w:val="00FF7C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245DDC90"/>
  <w15:chartTrackingRefBased/>
  <w15:docId w15:val="{62922DA8-34CE-4FE0-8D2D-C29E5E836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4FB6"/>
  </w:style>
  <w:style w:type="paragraph" w:styleId="1">
    <w:name w:val="heading 1"/>
    <w:basedOn w:val="a"/>
    <w:next w:val="a"/>
    <w:link w:val="10"/>
    <w:uiPriority w:val="9"/>
    <w:qFormat/>
    <w:rsid w:val="006F523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05254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05254D"/>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05254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6F523F"/>
    <w:rPr>
      <w:rFonts w:asciiTheme="majorHAnsi" w:eastAsiaTheme="majorEastAsia" w:hAnsiTheme="majorHAnsi" w:cstheme="majorBidi"/>
      <w:color w:val="2E74B5" w:themeColor="accent1" w:themeShade="BF"/>
      <w:sz w:val="32"/>
      <w:szCs w:val="32"/>
    </w:rPr>
  </w:style>
  <w:style w:type="character" w:styleId="a4">
    <w:name w:val="Hyperlink"/>
    <w:basedOn w:val="a0"/>
    <w:uiPriority w:val="99"/>
    <w:unhideWhenUsed/>
    <w:rsid w:val="00FA773C"/>
    <w:rPr>
      <w:color w:val="0000FF"/>
      <w:u w:val="single"/>
    </w:rPr>
  </w:style>
  <w:style w:type="paragraph" w:styleId="a5">
    <w:name w:val="List Paragraph"/>
    <w:basedOn w:val="a"/>
    <w:uiPriority w:val="34"/>
    <w:qFormat/>
    <w:rsid w:val="00FA773C"/>
    <w:pPr>
      <w:ind w:left="720"/>
      <w:contextualSpacing/>
    </w:pPr>
  </w:style>
  <w:style w:type="paragraph" w:styleId="a6">
    <w:name w:val="header"/>
    <w:basedOn w:val="a"/>
    <w:link w:val="a7"/>
    <w:uiPriority w:val="99"/>
    <w:unhideWhenUsed/>
    <w:rsid w:val="003F7E8D"/>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F7E8D"/>
  </w:style>
  <w:style w:type="paragraph" w:styleId="a8">
    <w:name w:val="footer"/>
    <w:basedOn w:val="a"/>
    <w:link w:val="a9"/>
    <w:uiPriority w:val="99"/>
    <w:unhideWhenUsed/>
    <w:rsid w:val="003F7E8D"/>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F7E8D"/>
  </w:style>
  <w:style w:type="character" w:customStyle="1" w:styleId="referenceable">
    <w:name w:val="referenceable"/>
    <w:basedOn w:val="a0"/>
    <w:rsid w:val="00E16287"/>
  </w:style>
  <w:style w:type="character" w:styleId="aa">
    <w:name w:val="annotation reference"/>
    <w:basedOn w:val="a0"/>
    <w:uiPriority w:val="99"/>
    <w:semiHidden/>
    <w:unhideWhenUsed/>
    <w:rsid w:val="00E16287"/>
    <w:rPr>
      <w:sz w:val="16"/>
      <w:szCs w:val="16"/>
    </w:rPr>
  </w:style>
  <w:style w:type="paragraph" w:styleId="ab">
    <w:name w:val="annotation text"/>
    <w:basedOn w:val="a"/>
    <w:link w:val="ac"/>
    <w:uiPriority w:val="99"/>
    <w:semiHidden/>
    <w:unhideWhenUsed/>
    <w:rsid w:val="00E16287"/>
    <w:pPr>
      <w:spacing w:line="240" w:lineRule="auto"/>
    </w:pPr>
    <w:rPr>
      <w:sz w:val="20"/>
      <w:szCs w:val="20"/>
    </w:rPr>
  </w:style>
  <w:style w:type="character" w:customStyle="1" w:styleId="ac">
    <w:name w:val="Текст примечания Знак"/>
    <w:basedOn w:val="a0"/>
    <w:link w:val="ab"/>
    <w:uiPriority w:val="99"/>
    <w:semiHidden/>
    <w:rsid w:val="00E16287"/>
    <w:rPr>
      <w:sz w:val="20"/>
      <w:szCs w:val="20"/>
    </w:rPr>
  </w:style>
  <w:style w:type="paragraph" w:styleId="ad">
    <w:name w:val="Balloon Text"/>
    <w:basedOn w:val="a"/>
    <w:link w:val="ae"/>
    <w:uiPriority w:val="99"/>
    <w:semiHidden/>
    <w:unhideWhenUsed/>
    <w:rsid w:val="00E1628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E16287"/>
    <w:rPr>
      <w:rFonts w:ascii="Segoe UI" w:hAnsi="Segoe UI" w:cs="Segoe UI"/>
      <w:sz w:val="18"/>
      <w:szCs w:val="18"/>
    </w:rPr>
  </w:style>
  <w:style w:type="paragraph" w:styleId="af">
    <w:name w:val="annotation subject"/>
    <w:basedOn w:val="ab"/>
    <w:next w:val="ab"/>
    <w:link w:val="af0"/>
    <w:uiPriority w:val="99"/>
    <w:semiHidden/>
    <w:unhideWhenUsed/>
    <w:rsid w:val="00B86B97"/>
    <w:rPr>
      <w:b/>
      <w:bCs/>
    </w:rPr>
  </w:style>
  <w:style w:type="character" w:customStyle="1" w:styleId="af0">
    <w:name w:val="Тема примечания Знак"/>
    <w:basedOn w:val="ac"/>
    <w:link w:val="af"/>
    <w:uiPriority w:val="99"/>
    <w:semiHidden/>
    <w:rsid w:val="00B86B97"/>
    <w:rPr>
      <w:b/>
      <w:bCs/>
      <w:sz w:val="20"/>
      <w:szCs w:val="20"/>
    </w:rPr>
  </w:style>
  <w:style w:type="character" w:styleId="af1">
    <w:name w:val="FollowedHyperlink"/>
    <w:basedOn w:val="a0"/>
    <w:uiPriority w:val="99"/>
    <w:semiHidden/>
    <w:unhideWhenUsed/>
    <w:rsid w:val="00CC4A03"/>
    <w:rPr>
      <w:color w:val="954F72" w:themeColor="followedHyperlink"/>
      <w:u w:val="single"/>
    </w:rPr>
  </w:style>
  <w:style w:type="paragraph" w:styleId="af2">
    <w:name w:val="TOC Heading"/>
    <w:basedOn w:val="1"/>
    <w:next w:val="a"/>
    <w:uiPriority w:val="39"/>
    <w:unhideWhenUsed/>
    <w:qFormat/>
    <w:rsid w:val="001F5D02"/>
    <w:pPr>
      <w:outlineLvl w:val="9"/>
    </w:pPr>
    <w:rPr>
      <w:lang w:eastAsia="ru-RU"/>
    </w:rPr>
  </w:style>
  <w:style w:type="paragraph" w:styleId="21">
    <w:name w:val="toc 2"/>
    <w:basedOn w:val="a"/>
    <w:next w:val="a"/>
    <w:autoRedefine/>
    <w:uiPriority w:val="39"/>
    <w:unhideWhenUsed/>
    <w:rsid w:val="001F5D02"/>
    <w:pPr>
      <w:spacing w:after="100"/>
      <w:ind w:left="220"/>
    </w:pPr>
  </w:style>
  <w:style w:type="paragraph" w:styleId="11">
    <w:name w:val="toc 1"/>
    <w:basedOn w:val="a"/>
    <w:next w:val="a"/>
    <w:autoRedefine/>
    <w:uiPriority w:val="39"/>
    <w:unhideWhenUsed/>
    <w:rsid w:val="009632C3"/>
    <w:pPr>
      <w:tabs>
        <w:tab w:val="right" w:leader="dot" w:pos="9345"/>
      </w:tabs>
      <w:spacing w:after="100"/>
    </w:pPr>
    <w:rPr>
      <w:rFonts w:eastAsiaTheme="minorEastAsia" w:cs="Times New Roman"/>
      <w:lang w:eastAsia="ru-RU"/>
    </w:rPr>
  </w:style>
  <w:style w:type="paragraph" w:styleId="3">
    <w:name w:val="toc 3"/>
    <w:basedOn w:val="a"/>
    <w:next w:val="a"/>
    <w:autoRedefine/>
    <w:uiPriority w:val="39"/>
    <w:unhideWhenUsed/>
    <w:rsid w:val="001F5D02"/>
    <w:pPr>
      <w:spacing w:after="100"/>
      <w:ind w:left="440"/>
    </w:pPr>
    <w:rPr>
      <w:rFonts w:eastAsiaTheme="minorEastAsia" w:cs="Times New Roman"/>
      <w:lang w:eastAsia="ru-RU"/>
    </w:rPr>
  </w:style>
  <w:style w:type="paragraph" w:styleId="af3">
    <w:name w:val="footnote text"/>
    <w:basedOn w:val="a"/>
    <w:link w:val="af4"/>
    <w:uiPriority w:val="99"/>
    <w:semiHidden/>
    <w:unhideWhenUsed/>
    <w:rsid w:val="00DE73B2"/>
    <w:pPr>
      <w:spacing w:after="0" w:line="240" w:lineRule="auto"/>
    </w:pPr>
    <w:rPr>
      <w:sz w:val="20"/>
      <w:szCs w:val="20"/>
    </w:rPr>
  </w:style>
  <w:style w:type="character" w:customStyle="1" w:styleId="af4">
    <w:name w:val="Текст сноски Знак"/>
    <w:basedOn w:val="a0"/>
    <w:link w:val="af3"/>
    <w:uiPriority w:val="99"/>
    <w:semiHidden/>
    <w:rsid w:val="00DE73B2"/>
    <w:rPr>
      <w:sz w:val="20"/>
      <w:szCs w:val="20"/>
    </w:rPr>
  </w:style>
  <w:style w:type="character" w:styleId="af5">
    <w:name w:val="footnote reference"/>
    <w:basedOn w:val="a0"/>
    <w:uiPriority w:val="99"/>
    <w:semiHidden/>
    <w:unhideWhenUsed/>
    <w:rsid w:val="00DE73B2"/>
    <w:rPr>
      <w:vertAlign w:val="superscript"/>
    </w:rPr>
  </w:style>
  <w:style w:type="paragraph" w:customStyle="1" w:styleId="name">
    <w:name w:val="name"/>
    <w:basedOn w:val="a"/>
    <w:uiPriority w:val="99"/>
    <w:semiHidden/>
    <w:rsid w:val="00457238"/>
    <w:pPr>
      <w:spacing w:before="100" w:beforeAutospacing="1" w:after="100" w:afterAutospacing="1" w:line="240" w:lineRule="auto"/>
    </w:pPr>
    <w:rPr>
      <w:rFonts w:ascii="Times New Roman" w:hAnsi="Times New Roman" w:cs="Times New Roman"/>
      <w:sz w:val="24"/>
      <w:szCs w:val="24"/>
      <w:lang w:eastAsia="ru-RU"/>
    </w:rPr>
  </w:style>
  <w:style w:type="character" w:styleId="af6">
    <w:name w:val="Emphasis"/>
    <w:basedOn w:val="a0"/>
    <w:uiPriority w:val="20"/>
    <w:qFormat/>
    <w:rsid w:val="00561921"/>
    <w:rPr>
      <w:i/>
      <w:iCs/>
    </w:rPr>
  </w:style>
  <w:style w:type="paragraph" w:customStyle="1" w:styleId="readerarticlelead">
    <w:name w:val="reader_article_lead"/>
    <w:basedOn w:val="a"/>
    <w:uiPriority w:val="99"/>
    <w:semiHidden/>
    <w:rsid w:val="009F7085"/>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2749">
      <w:bodyDiv w:val="1"/>
      <w:marLeft w:val="0"/>
      <w:marRight w:val="0"/>
      <w:marTop w:val="0"/>
      <w:marBottom w:val="0"/>
      <w:divBdr>
        <w:top w:val="none" w:sz="0" w:space="0" w:color="auto"/>
        <w:left w:val="none" w:sz="0" w:space="0" w:color="auto"/>
        <w:bottom w:val="none" w:sz="0" w:space="0" w:color="auto"/>
        <w:right w:val="none" w:sz="0" w:space="0" w:color="auto"/>
      </w:divBdr>
    </w:div>
    <w:div w:id="42557844">
      <w:bodyDiv w:val="1"/>
      <w:marLeft w:val="0"/>
      <w:marRight w:val="0"/>
      <w:marTop w:val="0"/>
      <w:marBottom w:val="0"/>
      <w:divBdr>
        <w:top w:val="none" w:sz="0" w:space="0" w:color="auto"/>
        <w:left w:val="none" w:sz="0" w:space="0" w:color="auto"/>
        <w:bottom w:val="none" w:sz="0" w:space="0" w:color="auto"/>
        <w:right w:val="none" w:sz="0" w:space="0" w:color="auto"/>
      </w:divBdr>
      <w:divsChild>
        <w:div w:id="975720440">
          <w:marLeft w:val="0"/>
          <w:marRight w:val="0"/>
          <w:marTop w:val="0"/>
          <w:marBottom w:val="0"/>
          <w:divBdr>
            <w:top w:val="none" w:sz="0" w:space="0" w:color="auto"/>
            <w:left w:val="none" w:sz="0" w:space="0" w:color="auto"/>
            <w:bottom w:val="none" w:sz="0" w:space="0" w:color="auto"/>
            <w:right w:val="none" w:sz="0" w:space="0" w:color="auto"/>
          </w:divBdr>
          <w:divsChild>
            <w:div w:id="781073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8223">
      <w:bodyDiv w:val="1"/>
      <w:marLeft w:val="0"/>
      <w:marRight w:val="0"/>
      <w:marTop w:val="0"/>
      <w:marBottom w:val="0"/>
      <w:divBdr>
        <w:top w:val="none" w:sz="0" w:space="0" w:color="auto"/>
        <w:left w:val="none" w:sz="0" w:space="0" w:color="auto"/>
        <w:bottom w:val="none" w:sz="0" w:space="0" w:color="auto"/>
        <w:right w:val="none" w:sz="0" w:space="0" w:color="auto"/>
      </w:divBdr>
    </w:div>
    <w:div w:id="55516421">
      <w:bodyDiv w:val="1"/>
      <w:marLeft w:val="0"/>
      <w:marRight w:val="0"/>
      <w:marTop w:val="0"/>
      <w:marBottom w:val="0"/>
      <w:divBdr>
        <w:top w:val="none" w:sz="0" w:space="0" w:color="auto"/>
        <w:left w:val="none" w:sz="0" w:space="0" w:color="auto"/>
        <w:bottom w:val="none" w:sz="0" w:space="0" w:color="auto"/>
        <w:right w:val="none" w:sz="0" w:space="0" w:color="auto"/>
      </w:divBdr>
    </w:div>
    <w:div w:id="56786189">
      <w:bodyDiv w:val="1"/>
      <w:marLeft w:val="0"/>
      <w:marRight w:val="0"/>
      <w:marTop w:val="0"/>
      <w:marBottom w:val="0"/>
      <w:divBdr>
        <w:top w:val="none" w:sz="0" w:space="0" w:color="auto"/>
        <w:left w:val="none" w:sz="0" w:space="0" w:color="auto"/>
        <w:bottom w:val="none" w:sz="0" w:space="0" w:color="auto"/>
        <w:right w:val="none" w:sz="0" w:space="0" w:color="auto"/>
      </w:divBdr>
      <w:divsChild>
        <w:div w:id="1592662391">
          <w:marLeft w:val="0"/>
          <w:marRight w:val="0"/>
          <w:marTop w:val="0"/>
          <w:marBottom w:val="0"/>
          <w:divBdr>
            <w:top w:val="none" w:sz="0" w:space="0" w:color="auto"/>
            <w:left w:val="none" w:sz="0" w:space="0" w:color="auto"/>
            <w:bottom w:val="none" w:sz="0" w:space="0" w:color="auto"/>
            <w:right w:val="none" w:sz="0" w:space="0" w:color="auto"/>
          </w:divBdr>
          <w:divsChild>
            <w:div w:id="1936286806">
              <w:marLeft w:val="0"/>
              <w:marRight w:val="0"/>
              <w:marTop w:val="0"/>
              <w:marBottom w:val="0"/>
              <w:divBdr>
                <w:top w:val="none" w:sz="0" w:space="0" w:color="auto"/>
                <w:left w:val="none" w:sz="0" w:space="0" w:color="auto"/>
                <w:bottom w:val="none" w:sz="0" w:space="0" w:color="auto"/>
                <w:right w:val="none" w:sz="0" w:space="0" w:color="auto"/>
              </w:divBdr>
              <w:divsChild>
                <w:div w:id="1885025393">
                  <w:marLeft w:val="0"/>
                  <w:marRight w:val="0"/>
                  <w:marTop w:val="0"/>
                  <w:marBottom w:val="0"/>
                  <w:divBdr>
                    <w:top w:val="none" w:sz="0" w:space="0" w:color="auto"/>
                    <w:left w:val="none" w:sz="0" w:space="0" w:color="auto"/>
                    <w:bottom w:val="none" w:sz="0" w:space="0" w:color="auto"/>
                    <w:right w:val="none" w:sz="0" w:space="0" w:color="auto"/>
                  </w:divBdr>
                  <w:divsChild>
                    <w:div w:id="850493338">
                      <w:marLeft w:val="0"/>
                      <w:marRight w:val="0"/>
                      <w:marTop w:val="0"/>
                      <w:marBottom w:val="0"/>
                      <w:divBdr>
                        <w:top w:val="none" w:sz="0" w:space="0" w:color="auto"/>
                        <w:left w:val="none" w:sz="0" w:space="0" w:color="auto"/>
                        <w:bottom w:val="none" w:sz="0" w:space="0" w:color="auto"/>
                        <w:right w:val="none" w:sz="0" w:space="0" w:color="auto"/>
                      </w:divBdr>
                      <w:divsChild>
                        <w:div w:id="423302708">
                          <w:marLeft w:val="0"/>
                          <w:marRight w:val="0"/>
                          <w:marTop w:val="0"/>
                          <w:marBottom w:val="0"/>
                          <w:divBdr>
                            <w:top w:val="none" w:sz="0" w:space="0" w:color="auto"/>
                            <w:left w:val="none" w:sz="0" w:space="0" w:color="auto"/>
                            <w:bottom w:val="none" w:sz="0" w:space="0" w:color="auto"/>
                            <w:right w:val="none" w:sz="0" w:space="0" w:color="auto"/>
                          </w:divBdr>
                          <w:divsChild>
                            <w:div w:id="1481539157">
                              <w:marLeft w:val="0"/>
                              <w:marRight w:val="0"/>
                              <w:marTop w:val="0"/>
                              <w:marBottom w:val="0"/>
                              <w:divBdr>
                                <w:top w:val="none" w:sz="0" w:space="0" w:color="auto"/>
                                <w:left w:val="none" w:sz="0" w:space="0" w:color="auto"/>
                                <w:bottom w:val="none" w:sz="0" w:space="0" w:color="auto"/>
                                <w:right w:val="none" w:sz="0" w:space="0" w:color="auto"/>
                              </w:divBdr>
                            </w:div>
                            <w:div w:id="903030417">
                              <w:marLeft w:val="0"/>
                              <w:marRight w:val="0"/>
                              <w:marTop w:val="0"/>
                              <w:marBottom w:val="0"/>
                              <w:divBdr>
                                <w:top w:val="none" w:sz="0" w:space="0" w:color="auto"/>
                                <w:left w:val="none" w:sz="0" w:space="0" w:color="auto"/>
                                <w:bottom w:val="none" w:sz="0" w:space="0" w:color="auto"/>
                                <w:right w:val="none" w:sz="0" w:space="0" w:color="auto"/>
                              </w:divBdr>
                            </w:div>
                          </w:divsChild>
                        </w:div>
                        <w:div w:id="1564103438">
                          <w:marLeft w:val="0"/>
                          <w:marRight w:val="0"/>
                          <w:marTop w:val="0"/>
                          <w:marBottom w:val="0"/>
                          <w:divBdr>
                            <w:top w:val="none" w:sz="0" w:space="0" w:color="auto"/>
                            <w:left w:val="none" w:sz="0" w:space="0" w:color="auto"/>
                            <w:bottom w:val="none" w:sz="0" w:space="0" w:color="auto"/>
                            <w:right w:val="none" w:sz="0" w:space="0" w:color="auto"/>
                          </w:divBdr>
                        </w:div>
                        <w:div w:id="132778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34185">
      <w:bodyDiv w:val="1"/>
      <w:marLeft w:val="0"/>
      <w:marRight w:val="0"/>
      <w:marTop w:val="0"/>
      <w:marBottom w:val="0"/>
      <w:divBdr>
        <w:top w:val="none" w:sz="0" w:space="0" w:color="auto"/>
        <w:left w:val="none" w:sz="0" w:space="0" w:color="auto"/>
        <w:bottom w:val="none" w:sz="0" w:space="0" w:color="auto"/>
        <w:right w:val="none" w:sz="0" w:space="0" w:color="auto"/>
      </w:divBdr>
    </w:div>
    <w:div w:id="85663032">
      <w:bodyDiv w:val="1"/>
      <w:marLeft w:val="0"/>
      <w:marRight w:val="0"/>
      <w:marTop w:val="0"/>
      <w:marBottom w:val="0"/>
      <w:divBdr>
        <w:top w:val="none" w:sz="0" w:space="0" w:color="auto"/>
        <w:left w:val="none" w:sz="0" w:space="0" w:color="auto"/>
        <w:bottom w:val="none" w:sz="0" w:space="0" w:color="auto"/>
        <w:right w:val="none" w:sz="0" w:space="0" w:color="auto"/>
      </w:divBdr>
    </w:div>
    <w:div w:id="89157983">
      <w:bodyDiv w:val="1"/>
      <w:marLeft w:val="0"/>
      <w:marRight w:val="0"/>
      <w:marTop w:val="0"/>
      <w:marBottom w:val="0"/>
      <w:divBdr>
        <w:top w:val="none" w:sz="0" w:space="0" w:color="auto"/>
        <w:left w:val="none" w:sz="0" w:space="0" w:color="auto"/>
        <w:bottom w:val="none" w:sz="0" w:space="0" w:color="auto"/>
        <w:right w:val="none" w:sz="0" w:space="0" w:color="auto"/>
      </w:divBdr>
    </w:div>
    <w:div w:id="116531404">
      <w:bodyDiv w:val="1"/>
      <w:marLeft w:val="0"/>
      <w:marRight w:val="0"/>
      <w:marTop w:val="0"/>
      <w:marBottom w:val="0"/>
      <w:divBdr>
        <w:top w:val="none" w:sz="0" w:space="0" w:color="auto"/>
        <w:left w:val="none" w:sz="0" w:space="0" w:color="auto"/>
        <w:bottom w:val="none" w:sz="0" w:space="0" w:color="auto"/>
        <w:right w:val="none" w:sz="0" w:space="0" w:color="auto"/>
      </w:divBdr>
    </w:div>
    <w:div w:id="117141922">
      <w:bodyDiv w:val="1"/>
      <w:marLeft w:val="0"/>
      <w:marRight w:val="0"/>
      <w:marTop w:val="0"/>
      <w:marBottom w:val="0"/>
      <w:divBdr>
        <w:top w:val="none" w:sz="0" w:space="0" w:color="auto"/>
        <w:left w:val="none" w:sz="0" w:space="0" w:color="auto"/>
        <w:bottom w:val="none" w:sz="0" w:space="0" w:color="auto"/>
        <w:right w:val="none" w:sz="0" w:space="0" w:color="auto"/>
      </w:divBdr>
      <w:divsChild>
        <w:div w:id="1737630596">
          <w:marLeft w:val="0"/>
          <w:marRight w:val="0"/>
          <w:marTop w:val="0"/>
          <w:marBottom w:val="0"/>
          <w:divBdr>
            <w:top w:val="none" w:sz="0" w:space="0" w:color="auto"/>
            <w:left w:val="none" w:sz="0" w:space="0" w:color="auto"/>
            <w:bottom w:val="none" w:sz="0" w:space="0" w:color="auto"/>
            <w:right w:val="none" w:sz="0" w:space="0" w:color="auto"/>
          </w:divBdr>
          <w:divsChild>
            <w:div w:id="1659383837">
              <w:marLeft w:val="0"/>
              <w:marRight w:val="0"/>
              <w:marTop w:val="0"/>
              <w:marBottom w:val="0"/>
              <w:divBdr>
                <w:top w:val="none" w:sz="0" w:space="0" w:color="auto"/>
                <w:left w:val="none" w:sz="0" w:space="0" w:color="auto"/>
                <w:bottom w:val="none" w:sz="0" w:space="0" w:color="auto"/>
                <w:right w:val="none" w:sz="0" w:space="0" w:color="auto"/>
              </w:divBdr>
              <w:divsChild>
                <w:div w:id="423768493">
                  <w:marLeft w:val="0"/>
                  <w:marRight w:val="0"/>
                  <w:marTop w:val="0"/>
                  <w:marBottom w:val="0"/>
                  <w:divBdr>
                    <w:top w:val="none" w:sz="0" w:space="0" w:color="auto"/>
                    <w:left w:val="none" w:sz="0" w:space="0" w:color="auto"/>
                    <w:bottom w:val="none" w:sz="0" w:space="0" w:color="auto"/>
                    <w:right w:val="none" w:sz="0" w:space="0" w:color="auto"/>
                  </w:divBdr>
                  <w:divsChild>
                    <w:div w:id="48502232">
                      <w:marLeft w:val="0"/>
                      <w:marRight w:val="0"/>
                      <w:marTop w:val="0"/>
                      <w:marBottom w:val="0"/>
                      <w:divBdr>
                        <w:top w:val="none" w:sz="0" w:space="0" w:color="auto"/>
                        <w:left w:val="none" w:sz="0" w:space="0" w:color="auto"/>
                        <w:bottom w:val="none" w:sz="0" w:space="0" w:color="auto"/>
                        <w:right w:val="none" w:sz="0" w:space="0" w:color="auto"/>
                      </w:divBdr>
                      <w:divsChild>
                        <w:div w:id="1195121409">
                          <w:marLeft w:val="0"/>
                          <w:marRight w:val="0"/>
                          <w:marTop w:val="0"/>
                          <w:marBottom w:val="0"/>
                          <w:divBdr>
                            <w:top w:val="none" w:sz="0" w:space="0" w:color="auto"/>
                            <w:left w:val="none" w:sz="0" w:space="0" w:color="auto"/>
                            <w:bottom w:val="none" w:sz="0" w:space="0" w:color="auto"/>
                            <w:right w:val="none" w:sz="0" w:space="0" w:color="auto"/>
                          </w:divBdr>
                          <w:divsChild>
                            <w:div w:id="2132940790">
                              <w:marLeft w:val="0"/>
                              <w:marRight w:val="0"/>
                              <w:marTop w:val="0"/>
                              <w:marBottom w:val="0"/>
                              <w:divBdr>
                                <w:top w:val="none" w:sz="0" w:space="0" w:color="auto"/>
                                <w:left w:val="none" w:sz="0" w:space="0" w:color="auto"/>
                                <w:bottom w:val="none" w:sz="0" w:space="0" w:color="auto"/>
                                <w:right w:val="none" w:sz="0" w:space="0" w:color="auto"/>
                              </w:divBdr>
                            </w:div>
                            <w:div w:id="1433552609">
                              <w:marLeft w:val="0"/>
                              <w:marRight w:val="0"/>
                              <w:marTop w:val="0"/>
                              <w:marBottom w:val="0"/>
                              <w:divBdr>
                                <w:top w:val="none" w:sz="0" w:space="0" w:color="auto"/>
                                <w:left w:val="none" w:sz="0" w:space="0" w:color="auto"/>
                                <w:bottom w:val="none" w:sz="0" w:space="0" w:color="auto"/>
                                <w:right w:val="none" w:sz="0" w:space="0" w:color="auto"/>
                              </w:divBdr>
                            </w:div>
                          </w:divsChild>
                        </w:div>
                        <w:div w:id="107504635">
                          <w:marLeft w:val="0"/>
                          <w:marRight w:val="0"/>
                          <w:marTop w:val="0"/>
                          <w:marBottom w:val="0"/>
                          <w:divBdr>
                            <w:top w:val="none" w:sz="0" w:space="0" w:color="auto"/>
                            <w:left w:val="none" w:sz="0" w:space="0" w:color="auto"/>
                            <w:bottom w:val="none" w:sz="0" w:space="0" w:color="auto"/>
                            <w:right w:val="none" w:sz="0" w:space="0" w:color="auto"/>
                          </w:divBdr>
                        </w:div>
                        <w:div w:id="1198592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223570">
      <w:bodyDiv w:val="1"/>
      <w:marLeft w:val="0"/>
      <w:marRight w:val="0"/>
      <w:marTop w:val="0"/>
      <w:marBottom w:val="0"/>
      <w:divBdr>
        <w:top w:val="none" w:sz="0" w:space="0" w:color="auto"/>
        <w:left w:val="none" w:sz="0" w:space="0" w:color="auto"/>
        <w:bottom w:val="none" w:sz="0" w:space="0" w:color="auto"/>
        <w:right w:val="none" w:sz="0" w:space="0" w:color="auto"/>
      </w:divBdr>
      <w:divsChild>
        <w:div w:id="974918084">
          <w:marLeft w:val="0"/>
          <w:marRight w:val="0"/>
          <w:marTop w:val="0"/>
          <w:marBottom w:val="0"/>
          <w:divBdr>
            <w:top w:val="none" w:sz="0" w:space="0" w:color="auto"/>
            <w:left w:val="none" w:sz="0" w:space="0" w:color="auto"/>
            <w:bottom w:val="none" w:sz="0" w:space="0" w:color="auto"/>
            <w:right w:val="none" w:sz="0" w:space="0" w:color="auto"/>
          </w:divBdr>
          <w:divsChild>
            <w:div w:id="1627202631">
              <w:marLeft w:val="0"/>
              <w:marRight w:val="0"/>
              <w:marTop w:val="0"/>
              <w:marBottom w:val="0"/>
              <w:divBdr>
                <w:top w:val="none" w:sz="0" w:space="0" w:color="auto"/>
                <w:left w:val="none" w:sz="0" w:space="0" w:color="auto"/>
                <w:bottom w:val="none" w:sz="0" w:space="0" w:color="auto"/>
                <w:right w:val="none" w:sz="0" w:space="0" w:color="auto"/>
              </w:divBdr>
              <w:divsChild>
                <w:div w:id="1026053796">
                  <w:marLeft w:val="0"/>
                  <w:marRight w:val="0"/>
                  <w:marTop w:val="0"/>
                  <w:marBottom w:val="0"/>
                  <w:divBdr>
                    <w:top w:val="none" w:sz="0" w:space="0" w:color="auto"/>
                    <w:left w:val="none" w:sz="0" w:space="0" w:color="auto"/>
                    <w:bottom w:val="none" w:sz="0" w:space="0" w:color="auto"/>
                    <w:right w:val="none" w:sz="0" w:space="0" w:color="auto"/>
                  </w:divBdr>
                  <w:divsChild>
                    <w:div w:id="1254508157">
                      <w:marLeft w:val="0"/>
                      <w:marRight w:val="0"/>
                      <w:marTop w:val="0"/>
                      <w:marBottom w:val="0"/>
                      <w:divBdr>
                        <w:top w:val="none" w:sz="0" w:space="0" w:color="auto"/>
                        <w:left w:val="none" w:sz="0" w:space="0" w:color="auto"/>
                        <w:bottom w:val="none" w:sz="0" w:space="0" w:color="auto"/>
                        <w:right w:val="none" w:sz="0" w:space="0" w:color="auto"/>
                      </w:divBdr>
                      <w:divsChild>
                        <w:div w:id="211767059">
                          <w:marLeft w:val="0"/>
                          <w:marRight w:val="0"/>
                          <w:marTop w:val="0"/>
                          <w:marBottom w:val="0"/>
                          <w:divBdr>
                            <w:top w:val="none" w:sz="0" w:space="0" w:color="auto"/>
                            <w:left w:val="none" w:sz="0" w:space="0" w:color="auto"/>
                            <w:bottom w:val="none" w:sz="0" w:space="0" w:color="auto"/>
                            <w:right w:val="none" w:sz="0" w:space="0" w:color="auto"/>
                          </w:divBdr>
                          <w:divsChild>
                            <w:div w:id="1075933188">
                              <w:marLeft w:val="0"/>
                              <w:marRight w:val="0"/>
                              <w:marTop w:val="0"/>
                              <w:marBottom w:val="0"/>
                              <w:divBdr>
                                <w:top w:val="none" w:sz="0" w:space="0" w:color="auto"/>
                                <w:left w:val="none" w:sz="0" w:space="0" w:color="auto"/>
                                <w:bottom w:val="none" w:sz="0" w:space="0" w:color="auto"/>
                                <w:right w:val="none" w:sz="0" w:space="0" w:color="auto"/>
                              </w:divBdr>
                            </w:div>
                            <w:div w:id="1977563073">
                              <w:marLeft w:val="0"/>
                              <w:marRight w:val="0"/>
                              <w:marTop w:val="0"/>
                              <w:marBottom w:val="0"/>
                              <w:divBdr>
                                <w:top w:val="none" w:sz="0" w:space="0" w:color="auto"/>
                                <w:left w:val="none" w:sz="0" w:space="0" w:color="auto"/>
                                <w:bottom w:val="none" w:sz="0" w:space="0" w:color="auto"/>
                                <w:right w:val="none" w:sz="0" w:space="0" w:color="auto"/>
                              </w:divBdr>
                            </w:div>
                          </w:divsChild>
                        </w:div>
                        <w:div w:id="609580862">
                          <w:marLeft w:val="0"/>
                          <w:marRight w:val="0"/>
                          <w:marTop w:val="0"/>
                          <w:marBottom w:val="0"/>
                          <w:divBdr>
                            <w:top w:val="none" w:sz="0" w:space="0" w:color="auto"/>
                            <w:left w:val="none" w:sz="0" w:space="0" w:color="auto"/>
                            <w:bottom w:val="none" w:sz="0" w:space="0" w:color="auto"/>
                            <w:right w:val="none" w:sz="0" w:space="0" w:color="auto"/>
                          </w:divBdr>
                        </w:div>
                        <w:div w:id="54441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851736">
      <w:bodyDiv w:val="1"/>
      <w:marLeft w:val="0"/>
      <w:marRight w:val="0"/>
      <w:marTop w:val="0"/>
      <w:marBottom w:val="0"/>
      <w:divBdr>
        <w:top w:val="none" w:sz="0" w:space="0" w:color="auto"/>
        <w:left w:val="none" w:sz="0" w:space="0" w:color="auto"/>
        <w:bottom w:val="none" w:sz="0" w:space="0" w:color="auto"/>
        <w:right w:val="none" w:sz="0" w:space="0" w:color="auto"/>
      </w:divBdr>
    </w:div>
    <w:div w:id="164442128">
      <w:bodyDiv w:val="1"/>
      <w:marLeft w:val="0"/>
      <w:marRight w:val="0"/>
      <w:marTop w:val="0"/>
      <w:marBottom w:val="0"/>
      <w:divBdr>
        <w:top w:val="none" w:sz="0" w:space="0" w:color="auto"/>
        <w:left w:val="none" w:sz="0" w:space="0" w:color="auto"/>
        <w:bottom w:val="none" w:sz="0" w:space="0" w:color="auto"/>
        <w:right w:val="none" w:sz="0" w:space="0" w:color="auto"/>
      </w:divBdr>
    </w:div>
    <w:div w:id="194117936">
      <w:bodyDiv w:val="1"/>
      <w:marLeft w:val="0"/>
      <w:marRight w:val="0"/>
      <w:marTop w:val="0"/>
      <w:marBottom w:val="0"/>
      <w:divBdr>
        <w:top w:val="none" w:sz="0" w:space="0" w:color="auto"/>
        <w:left w:val="none" w:sz="0" w:space="0" w:color="auto"/>
        <w:bottom w:val="none" w:sz="0" w:space="0" w:color="auto"/>
        <w:right w:val="none" w:sz="0" w:space="0" w:color="auto"/>
      </w:divBdr>
      <w:divsChild>
        <w:div w:id="1035472457">
          <w:marLeft w:val="0"/>
          <w:marRight w:val="0"/>
          <w:marTop w:val="0"/>
          <w:marBottom w:val="0"/>
          <w:divBdr>
            <w:top w:val="none" w:sz="0" w:space="0" w:color="auto"/>
            <w:left w:val="none" w:sz="0" w:space="0" w:color="auto"/>
            <w:bottom w:val="none" w:sz="0" w:space="0" w:color="auto"/>
            <w:right w:val="none" w:sz="0" w:space="0" w:color="auto"/>
          </w:divBdr>
          <w:divsChild>
            <w:div w:id="755368348">
              <w:marLeft w:val="0"/>
              <w:marRight w:val="0"/>
              <w:marTop w:val="0"/>
              <w:marBottom w:val="0"/>
              <w:divBdr>
                <w:top w:val="none" w:sz="0" w:space="0" w:color="auto"/>
                <w:left w:val="none" w:sz="0" w:space="0" w:color="auto"/>
                <w:bottom w:val="none" w:sz="0" w:space="0" w:color="auto"/>
                <w:right w:val="none" w:sz="0" w:space="0" w:color="auto"/>
              </w:divBdr>
              <w:divsChild>
                <w:div w:id="192814310">
                  <w:marLeft w:val="0"/>
                  <w:marRight w:val="0"/>
                  <w:marTop w:val="0"/>
                  <w:marBottom w:val="0"/>
                  <w:divBdr>
                    <w:top w:val="none" w:sz="0" w:space="0" w:color="auto"/>
                    <w:left w:val="none" w:sz="0" w:space="0" w:color="auto"/>
                    <w:bottom w:val="none" w:sz="0" w:space="0" w:color="auto"/>
                    <w:right w:val="none" w:sz="0" w:space="0" w:color="auto"/>
                  </w:divBdr>
                  <w:divsChild>
                    <w:div w:id="48773257">
                      <w:marLeft w:val="0"/>
                      <w:marRight w:val="0"/>
                      <w:marTop w:val="0"/>
                      <w:marBottom w:val="0"/>
                      <w:divBdr>
                        <w:top w:val="none" w:sz="0" w:space="0" w:color="auto"/>
                        <w:left w:val="none" w:sz="0" w:space="0" w:color="auto"/>
                        <w:bottom w:val="none" w:sz="0" w:space="0" w:color="auto"/>
                        <w:right w:val="none" w:sz="0" w:space="0" w:color="auto"/>
                      </w:divBdr>
                      <w:divsChild>
                        <w:div w:id="1792628431">
                          <w:marLeft w:val="0"/>
                          <w:marRight w:val="0"/>
                          <w:marTop w:val="0"/>
                          <w:marBottom w:val="0"/>
                          <w:divBdr>
                            <w:top w:val="none" w:sz="0" w:space="0" w:color="auto"/>
                            <w:left w:val="none" w:sz="0" w:space="0" w:color="auto"/>
                            <w:bottom w:val="none" w:sz="0" w:space="0" w:color="auto"/>
                            <w:right w:val="none" w:sz="0" w:space="0" w:color="auto"/>
                          </w:divBdr>
                          <w:divsChild>
                            <w:div w:id="446848289">
                              <w:marLeft w:val="0"/>
                              <w:marRight w:val="0"/>
                              <w:marTop w:val="0"/>
                              <w:marBottom w:val="0"/>
                              <w:divBdr>
                                <w:top w:val="none" w:sz="0" w:space="0" w:color="auto"/>
                                <w:left w:val="none" w:sz="0" w:space="0" w:color="auto"/>
                                <w:bottom w:val="none" w:sz="0" w:space="0" w:color="auto"/>
                                <w:right w:val="none" w:sz="0" w:space="0" w:color="auto"/>
                              </w:divBdr>
                            </w:div>
                            <w:div w:id="1426802612">
                              <w:marLeft w:val="0"/>
                              <w:marRight w:val="0"/>
                              <w:marTop w:val="0"/>
                              <w:marBottom w:val="0"/>
                              <w:divBdr>
                                <w:top w:val="none" w:sz="0" w:space="0" w:color="auto"/>
                                <w:left w:val="none" w:sz="0" w:space="0" w:color="auto"/>
                                <w:bottom w:val="none" w:sz="0" w:space="0" w:color="auto"/>
                                <w:right w:val="none" w:sz="0" w:space="0" w:color="auto"/>
                              </w:divBdr>
                            </w:div>
                          </w:divsChild>
                        </w:div>
                        <w:div w:id="999386980">
                          <w:marLeft w:val="0"/>
                          <w:marRight w:val="0"/>
                          <w:marTop w:val="0"/>
                          <w:marBottom w:val="0"/>
                          <w:divBdr>
                            <w:top w:val="none" w:sz="0" w:space="0" w:color="auto"/>
                            <w:left w:val="none" w:sz="0" w:space="0" w:color="auto"/>
                            <w:bottom w:val="none" w:sz="0" w:space="0" w:color="auto"/>
                            <w:right w:val="none" w:sz="0" w:space="0" w:color="auto"/>
                          </w:divBdr>
                          <w:divsChild>
                            <w:div w:id="546574072">
                              <w:marLeft w:val="0"/>
                              <w:marRight w:val="0"/>
                              <w:marTop w:val="0"/>
                              <w:marBottom w:val="0"/>
                              <w:divBdr>
                                <w:top w:val="none" w:sz="0" w:space="0" w:color="auto"/>
                                <w:left w:val="none" w:sz="0" w:space="0" w:color="auto"/>
                                <w:bottom w:val="none" w:sz="0" w:space="0" w:color="auto"/>
                                <w:right w:val="none" w:sz="0" w:space="0" w:color="auto"/>
                              </w:divBdr>
                              <w:divsChild>
                                <w:div w:id="1790585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4947914">
      <w:bodyDiv w:val="1"/>
      <w:marLeft w:val="0"/>
      <w:marRight w:val="0"/>
      <w:marTop w:val="0"/>
      <w:marBottom w:val="0"/>
      <w:divBdr>
        <w:top w:val="none" w:sz="0" w:space="0" w:color="auto"/>
        <w:left w:val="none" w:sz="0" w:space="0" w:color="auto"/>
        <w:bottom w:val="none" w:sz="0" w:space="0" w:color="auto"/>
        <w:right w:val="none" w:sz="0" w:space="0" w:color="auto"/>
      </w:divBdr>
      <w:divsChild>
        <w:div w:id="1644502509">
          <w:marLeft w:val="0"/>
          <w:marRight w:val="0"/>
          <w:marTop w:val="0"/>
          <w:marBottom w:val="0"/>
          <w:divBdr>
            <w:top w:val="none" w:sz="0" w:space="0" w:color="auto"/>
            <w:left w:val="none" w:sz="0" w:space="0" w:color="auto"/>
            <w:bottom w:val="none" w:sz="0" w:space="0" w:color="auto"/>
            <w:right w:val="none" w:sz="0" w:space="0" w:color="auto"/>
          </w:divBdr>
          <w:divsChild>
            <w:div w:id="1063062378">
              <w:marLeft w:val="0"/>
              <w:marRight w:val="0"/>
              <w:marTop w:val="0"/>
              <w:marBottom w:val="0"/>
              <w:divBdr>
                <w:top w:val="none" w:sz="0" w:space="0" w:color="auto"/>
                <w:left w:val="none" w:sz="0" w:space="0" w:color="auto"/>
                <w:bottom w:val="none" w:sz="0" w:space="0" w:color="auto"/>
                <w:right w:val="none" w:sz="0" w:space="0" w:color="auto"/>
              </w:divBdr>
              <w:divsChild>
                <w:div w:id="1974368172">
                  <w:marLeft w:val="0"/>
                  <w:marRight w:val="0"/>
                  <w:marTop w:val="0"/>
                  <w:marBottom w:val="0"/>
                  <w:divBdr>
                    <w:top w:val="none" w:sz="0" w:space="0" w:color="auto"/>
                    <w:left w:val="none" w:sz="0" w:space="0" w:color="auto"/>
                    <w:bottom w:val="none" w:sz="0" w:space="0" w:color="auto"/>
                    <w:right w:val="none" w:sz="0" w:space="0" w:color="auto"/>
                  </w:divBdr>
                  <w:divsChild>
                    <w:div w:id="1568152397">
                      <w:marLeft w:val="0"/>
                      <w:marRight w:val="0"/>
                      <w:marTop w:val="0"/>
                      <w:marBottom w:val="0"/>
                      <w:divBdr>
                        <w:top w:val="none" w:sz="0" w:space="0" w:color="auto"/>
                        <w:left w:val="none" w:sz="0" w:space="0" w:color="auto"/>
                        <w:bottom w:val="none" w:sz="0" w:space="0" w:color="auto"/>
                        <w:right w:val="none" w:sz="0" w:space="0" w:color="auto"/>
                      </w:divBdr>
                      <w:divsChild>
                        <w:div w:id="97335255">
                          <w:marLeft w:val="0"/>
                          <w:marRight w:val="0"/>
                          <w:marTop w:val="0"/>
                          <w:marBottom w:val="0"/>
                          <w:divBdr>
                            <w:top w:val="none" w:sz="0" w:space="0" w:color="auto"/>
                            <w:left w:val="none" w:sz="0" w:space="0" w:color="auto"/>
                            <w:bottom w:val="none" w:sz="0" w:space="0" w:color="auto"/>
                            <w:right w:val="none" w:sz="0" w:space="0" w:color="auto"/>
                          </w:divBdr>
                          <w:divsChild>
                            <w:div w:id="2005469779">
                              <w:marLeft w:val="0"/>
                              <w:marRight w:val="0"/>
                              <w:marTop w:val="0"/>
                              <w:marBottom w:val="0"/>
                              <w:divBdr>
                                <w:top w:val="none" w:sz="0" w:space="0" w:color="auto"/>
                                <w:left w:val="none" w:sz="0" w:space="0" w:color="auto"/>
                                <w:bottom w:val="none" w:sz="0" w:space="0" w:color="auto"/>
                                <w:right w:val="none" w:sz="0" w:space="0" w:color="auto"/>
                              </w:divBdr>
                            </w:div>
                            <w:div w:id="503472689">
                              <w:marLeft w:val="0"/>
                              <w:marRight w:val="0"/>
                              <w:marTop w:val="0"/>
                              <w:marBottom w:val="0"/>
                              <w:divBdr>
                                <w:top w:val="none" w:sz="0" w:space="0" w:color="auto"/>
                                <w:left w:val="none" w:sz="0" w:space="0" w:color="auto"/>
                                <w:bottom w:val="none" w:sz="0" w:space="0" w:color="auto"/>
                                <w:right w:val="none" w:sz="0" w:space="0" w:color="auto"/>
                              </w:divBdr>
                            </w:div>
                          </w:divsChild>
                        </w:div>
                        <w:div w:id="1256745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0870849">
      <w:bodyDiv w:val="1"/>
      <w:marLeft w:val="0"/>
      <w:marRight w:val="0"/>
      <w:marTop w:val="0"/>
      <w:marBottom w:val="0"/>
      <w:divBdr>
        <w:top w:val="none" w:sz="0" w:space="0" w:color="auto"/>
        <w:left w:val="none" w:sz="0" w:space="0" w:color="auto"/>
        <w:bottom w:val="none" w:sz="0" w:space="0" w:color="auto"/>
        <w:right w:val="none" w:sz="0" w:space="0" w:color="auto"/>
      </w:divBdr>
    </w:div>
    <w:div w:id="248542538">
      <w:bodyDiv w:val="1"/>
      <w:marLeft w:val="0"/>
      <w:marRight w:val="0"/>
      <w:marTop w:val="0"/>
      <w:marBottom w:val="0"/>
      <w:divBdr>
        <w:top w:val="none" w:sz="0" w:space="0" w:color="auto"/>
        <w:left w:val="none" w:sz="0" w:space="0" w:color="auto"/>
        <w:bottom w:val="none" w:sz="0" w:space="0" w:color="auto"/>
        <w:right w:val="none" w:sz="0" w:space="0" w:color="auto"/>
      </w:divBdr>
    </w:div>
    <w:div w:id="254637661">
      <w:bodyDiv w:val="1"/>
      <w:marLeft w:val="0"/>
      <w:marRight w:val="0"/>
      <w:marTop w:val="0"/>
      <w:marBottom w:val="0"/>
      <w:divBdr>
        <w:top w:val="none" w:sz="0" w:space="0" w:color="auto"/>
        <w:left w:val="none" w:sz="0" w:space="0" w:color="auto"/>
        <w:bottom w:val="none" w:sz="0" w:space="0" w:color="auto"/>
        <w:right w:val="none" w:sz="0" w:space="0" w:color="auto"/>
      </w:divBdr>
    </w:div>
    <w:div w:id="266734666">
      <w:bodyDiv w:val="1"/>
      <w:marLeft w:val="0"/>
      <w:marRight w:val="0"/>
      <w:marTop w:val="0"/>
      <w:marBottom w:val="0"/>
      <w:divBdr>
        <w:top w:val="none" w:sz="0" w:space="0" w:color="auto"/>
        <w:left w:val="none" w:sz="0" w:space="0" w:color="auto"/>
        <w:bottom w:val="none" w:sz="0" w:space="0" w:color="auto"/>
        <w:right w:val="none" w:sz="0" w:space="0" w:color="auto"/>
      </w:divBdr>
    </w:div>
    <w:div w:id="293340780">
      <w:bodyDiv w:val="1"/>
      <w:marLeft w:val="0"/>
      <w:marRight w:val="0"/>
      <w:marTop w:val="0"/>
      <w:marBottom w:val="0"/>
      <w:divBdr>
        <w:top w:val="none" w:sz="0" w:space="0" w:color="auto"/>
        <w:left w:val="none" w:sz="0" w:space="0" w:color="auto"/>
        <w:bottom w:val="none" w:sz="0" w:space="0" w:color="auto"/>
        <w:right w:val="none" w:sz="0" w:space="0" w:color="auto"/>
      </w:divBdr>
    </w:div>
    <w:div w:id="293407356">
      <w:bodyDiv w:val="1"/>
      <w:marLeft w:val="0"/>
      <w:marRight w:val="0"/>
      <w:marTop w:val="0"/>
      <w:marBottom w:val="0"/>
      <w:divBdr>
        <w:top w:val="none" w:sz="0" w:space="0" w:color="auto"/>
        <w:left w:val="none" w:sz="0" w:space="0" w:color="auto"/>
        <w:bottom w:val="none" w:sz="0" w:space="0" w:color="auto"/>
        <w:right w:val="none" w:sz="0" w:space="0" w:color="auto"/>
      </w:divBdr>
    </w:div>
    <w:div w:id="340278533">
      <w:bodyDiv w:val="1"/>
      <w:marLeft w:val="0"/>
      <w:marRight w:val="0"/>
      <w:marTop w:val="0"/>
      <w:marBottom w:val="0"/>
      <w:divBdr>
        <w:top w:val="none" w:sz="0" w:space="0" w:color="auto"/>
        <w:left w:val="none" w:sz="0" w:space="0" w:color="auto"/>
        <w:bottom w:val="none" w:sz="0" w:space="0" w:color="auto"/>
        <w:right w:val="none" w:sz="0" w:space="0" w:color="auto"/>
      </w:divBdr>
    </w:div>
    <w:div w:id="340665416">
      <w:bodyDiv w:val="1"/>
      <w:marLeft w:val="0"/>
      <w:marRight w:val="0"/>
      <w:marTop w:val="0"/>
      <w:marBottom w:val="0"/>
      <w:divBdr>
        <w:top w:val="none" w:sz="0" w:space="0" w:color="auto"/>
        <w:left w:val="none" w:sz="0" w:space="0" w:color="auto"/>
        <w:bottom w:val="none" w:sz="0" w:space="0" w:color="auto"/>
        <w:right w:val="none" w:sz="0" w:space="0" w:color="auto"/>
      </w:divBdr>
    </w:div>
    <w:div w:id="345981890">
      <w:bodyDiv w:val="1"/>
      <w:marLeft w:val="0"/>
      <w:marRight w:val="0"/>
      <w:marTop w:val="0"/>
      <w:marBottom w:val="0"/>
      <w:divBdr>
        <w:top w:val="none" w:sz="0" w:space="0" w:color="auto"/>
        <w:left w:val="none" w:sz="0" w:space="0" w:color="auto"/>
        <w:bottom w:val="none" w:sz="0" w:space="0" w:color="auto"/>
        <w:right w:val="none" w:sz="0" w:space="0" w:color="auto"/>
      </w:divBdr>
    </w:div>
    <w:div w:id="365956413">
      <w:bodyDiv w:val="1"/>
      <w:marLeft w:val="0"/>
      <w:marRight w:val="0"/>
      <w:marTop w:val="0"/>
      <w:marBottom w:val="0"/>
      <w:divBdr>
        <w:top w:val="none" w:sz="0" w:space="0" w:color="auto"/>
        <w:left w:val="none" w:sz="0" w:space="0" w:color="auto"/>
        <w:bottom w:val="none" w:sz="0" w:space="0" w:color="auto"/>
        <w:right w:val="none" w:sz="0" w:space="0" w:color="auto"/>
      </w:divBdr>
    </w:div>
    <w:div w:id="378823761">
      <w:bodyDiv w:val="1"/>
      <w:marLeft w:val="0"/>
      <w:marRight w:val="0"/>
      <w:marTop w:val="0"/>
      <w:marBottom w:val="0"/>
      <w:divBdr>
        <w:top w:val="none" w:sz="0" w:space="0" w:color="auto"/>
        <w:left w:val="none" w:sz="0" w:space="0" w:color="auto"/>
        <w:bottom w:val="none" w:sz="0" w:space="0" w:color="auto"/>
        <w:right w:val="none" w:sz="0" w:space="0" w:color="auto"/>
      </w:divBdr>
    </w:div>
    <w:div w:id="398410135">
      <w:bodyDiv w:val="1"/>
      <w:marLeft w:val="0"/>
      <w:marRight w:val="0"/>
      <w:marTop w:val="0"/>
      <w:marBottom w:val="0"/>
      <w:divBdr>
        <w:top w:val="none" w:sz="0" w:space="0" w:color="auto"/>
        <w:left w:val="none" w:sz="0" w:space="0" w:color="auto"/>
        <w:bottom w:val="none" w:sz="0" w:space="0" w:color="auto"/>
        <w:right w:val="none" w:sz="0" w:space="0" w:color="auto"/>
      </w:divBdr>
      <w:divsChild>
        <w:div w:id="1699238541">
          <w:marLeft w:val="0"/>
          <w:marRight w:val="0"/>
          <w:marTop w:val="0"/>
          <w:marBottom w:val="0"/>
          <w:divBdr>
            <w:top w:val="none" w:sz="0" w:space="0" w:color="auto"/>
            <w:left w:val="none" w:sz="0" w:space="0" w:color="auto"/>
            <w:bottom w:val="none" w:sz="0" w:space="0" w:color="auto"/>
            <w:right w:val="none" w:sz="0" w:space="0" w:color="auto"/>
          </w:divBdr>
        </w:div>
      </w:divsChild>
    </w:div>
    <w:div w:id="417169088">
      <w:bodyDiv w:val="1"/>
      <w:marLeft w:val="0"/>
      <w:marRight w:val="0"/>
      <w:marTop w:val="0"/>
      <w:marBottom w:val="0"/>
      <w:divBdr>
        <w:top w:val="none" w:sz="0" w:space="0" w:color="auto"/>
        <w:left w:val="none" w:sz="0" w:space="0" w:color="auto"/>
        <w:bottom w:val="none" w:sz="0" w:space="0" w:color="auto"/>
        <w:right w:val="none" w:sz="0" w:space="0" w:color="auto"/>
      </w:divBdr>
      <w:divsChild>
        <w:div w:id="898709565">
          <w:marLeft w:val="0"/>
          <w:marRight w:val="0"/>
          <w:marTop w:val="0"/>
          <w:marBottom w:val="0"/>
          <w:divBdr>
            <w:top w:val="none" w:sz="0" w:space="0" w:color="auto"/>
            <w:left w:val="none" w:sz="0" w:space="0" w:color="auto"/>
            <w:bottom w:val="none" w:sz="0" w:space="0" w:color="auto"/>
            <w:right w:val="none" w:sz="0" w:space="0" w:color="auto"/>
          </w:divBdr>
          <w:divsChild>
            <w:div w:id="1791977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488749">
      <w:bodyDiv w:val="1"/>
      <w:marLeft w:val="0"/>
      <w:marRight w:val="0"/>
      <w:marTop w:val="0"/>
      <w:marBottom w:val="0"/>
      <w:divBdr>
        <w:top w:val="none" w:sz="0" w:space="0" w:color="auto"/>
        <w:left w:val="none" w:sz="0" w:space="0" w:color="auto"/>
        <w:bottom w:val="none" w:sz="0" w:space="0" w:color="auto"/>
        <w:right w:val="none" w:sz="0" w:space="0" w:color="auto"/>
      </w:divBdr>
    </w:div>
    <w:div w:id="447354400">
      <w:bodyDiv w:val="1"/>
      <w:marLeft w:val="0"/>
      <w:marRight w:val="0"/>
      <w:marTop w:val="0"/>
      <w:marBottom w:val="0"/>
      <w:divBdr>
        <w:top w:val="none" w:sz="0" w:space="0" w:color="auto"/>
        <w:left w:val="none" w:sz="0" w:space="0" w:color="auto"/>
        <w:bottom w:val="none" w:sz="0" w:space="0" w:color="auto"/>
        <w:right w:val="none" w:sz="0" w:space="0" w:color="auto"/>
      </w:divBdr>
    </w:div>
    <w:div w:id="466633153">
      <w:bodyDiv w:val="1"/>
      <w:marLeft w:val="0"/>
      <w:marRight w:val="0"/>
      <w:marTop w:val="0"/>
      <w:marBottom w:val="0"/>
      <w:divBdr>
        <w:top w:val="none" w:sz="0" w:space="0" w:color="auto"/>
        <w:left w:val="none" w:sz="0" w:space="0" w:color="auto"/>
        <w:bottom w:val="none" w:sz="0" w:space="0" w:color="auto"/>
        <w:right w:val="none" w:sz="0" w:space="0" w:color="auto"/>
      </w:divBdr>
    </w:div>
    <w:div w:id="489061704">
      <w:bodyDiv w:val="1"/>
      <w:marLeft w:val="0"/>
      <w:marRight w:val="0"/>
      <w:marTop w:val="0"/>
      <w:marBottom w:val="0"/>
      <w:divBdr>
        <w:top w:val="none" w:sz="0" w:space="0" w:color="auto"/>
        <w:left w:val="none" w:sz="0" w:space="0" w:color="auto"/>
        <w:bottom w:val="none" w:sz="0" w:space="0" w:color="auto"/>
        <w:right w:val="none" w:sz="0" w:space="0" w:color="auto"/>
      </w:divBdr>
      <w:divsChild>
        <w:div w:id="164055700">
          <w:marLeft w:val="0"/>
          <w:marRight w:val="0"/>
          <w:marTop w:val="0"/>
          <w:marBottom w:val="0"/>
          <w:divBdr>
            <w:top w:val="none" w:sz="0" w:space="0" w:color="auto"/>
            <w:left w:val="none" w:sz="0" w:space="0" w:color="auto"/>
            <w:bottom w:val="none" w:sz="0" w:space="0" w:color="auto"/>
            <w:right w:val="none" w:sz="0" w:space="0" w:color="auto"/>
          </w:divBdr>
          <w:divsChild>
            <w:div w:id="1643189340">
              <w:marLeft w:val="0"/>
              <w:marRight w:val="0"/>
              <w:marTop w:val="0"/>
              <w:marBottom w:val="0"/>
              <w:divBdr>
                <w:top w:val="none" w:sz="0" w:space="0" w:color="auto"/>
                <w:left w:val="none" w:sz="0" w:space="0" w:color="auto"/>
                <w:bottom w:val="none" w:sz="0" w:space="0" w:color="auto"/>
                <w:right w:val="none" w:sz="0" w:space="0" w:color="auto"/>
              </w:divBdr>
              <w:divsChild>
                <w:div w:id="301082489">
                  <w:marLeft w:val="0"/>
                  <w:marRight w:val="0"/>
                  <w:marTop w:val="0"/>
                  <w:marBottom w:val="0"/>
                  <w:divBdr>
                    <w:top w:val="none" w:sz="0" w:space="0" w:color="auto"/>
                    <w:left w:val="none" w:sz="0" w:space="0" w:color="auto"/>
                    <w:bottom w:val="none" w:sz="0" w:space="0" w:color="auto"/>
                    <w:right w:val="none" w:sz="0" w:space="0" w:color="auto"/>
                  </w:divBdr>
                  <w:divsChild>
                    <w:div w:id="1079985754">
                      <w:marLeft w:val="0"/>
                      <w:marRight w:val="0"/>
                      <w:marTop w:val="0"/>
                      <w:marBottom w:val="0"/>
                      <w:divBdr>
                        <w:top w:val="none" w:sz="0" w:space="0" w:color="auto"/>
                        <w:left w:val="none" w:sz="0" w:space="0" w:color="auto"/>
                        <w:bottom w:val="none" w:sz="0" w:space="0" w:color="auto"/>
                        <w:right w:val="none" w:sz="0" w:space="0" w:color="auto"/>
                      </w:divBdr>
                      <w:divsChild>
                        <w:div w:id="896547348">
                          <w:marLeft w:val="0"/>
                          <w:marRight w:val="0"/>
                          <w:marTop w:val="0"/>
                          <w:marBottom w:val="0"/>
                          <w:divBdr>
                            <w:top w:val="none" w:sz="0" w:space="0" w:color="auto"/>
                            <w:left w:val="none" w:sz="0" w:space="0" w:color="auto"/>
                            <w:bottom w:val="none" w:sz="0" w:space="0" w:color="auto"/>
                            <w:right w:val="none" w:sz="0" w:space="0" w:color="auto"/>
                          </w:divBdr>
                          <w:divsChild>
                            <w:div w:id="1823155966">
                              <w:marLeft w:val="0"/>
                              <w:marRight w:val="0"/>
                              <w:marTop w:val="0"/>
                              <w:marBottom w:val="0"/>
                              <w:divBdr>
                                <w:top w:val="none" w:sz="0" w:space="0" w:color="auto"/>
                                <w:left w:val="none" w:sz="0" w:space="0" w:color="auto"/>
                                <w:bottom w:val="none" w:sz="0" w:space="0" w:color="auto"/>
                                <w:right w:val="none" w:sz="0" w:space="0" w:color="auto"/>
                              </w:divBdr>
                            </w:div>
                            <w:div w:id="1635713966">
                              <w:marLeft w:val="0"/>
                              <w:marRight w:val="0"/>
                              <w:marTop w:val="0"/>
                              <w:marBottom w:val="0"/>
                              <w:divBdr>
                                <w:top w:val="none" w:sz="0" w:space="0" w:color="auto"/>
                                <w:left w:val="none" w:sz="0" w:space="0" w:color="auto"/>
                                <w:bottom w:val="none" w:sz="0" w:space="0" w:color="auto"/>
                                <w:right w:val="none" w:sz="0" w:space="0" w:color="auto"/>
                              </w:divBdr>
                            </w:div>
                          </w:divsChild>
                        </w:div>
                        <w:div w:id="1007175366">
                          <w:marLeft w:val="0"/>
                          <w:marRight w:val="0"/>
                          <w:marTop w:val="0"/>
                          <w:marBottom w:val="0"/>
                          <w:divBdr>
                            <w:top w:val="none" w:sz="0" w:space="0" w:color="auto"/>
                            <w:left w:val="none" w:sz="0" w:space="0" w:color="auto"/>
                            <w:bottom w:val="none" w:sz="0" w:space="0" w:color="auto"/>
                            <w:right w:val="none" w:sz="0" w:space="0" w:color="auto"/>
                          </w:divBdr>
                        </w:div>
                        <w:div w:id="115745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6098081">
      <w:bodyDiv w:val="1"/>
      <w:marLeft w:val="0"/>
      <w:marRight w:val="0"/>
      <w:marTop w:val="0"/>
      <w:marBottom w:val="0"/>
      <w:divBdr>
        <w:top w:val="none" w:sz="0" w:space="0" w:color="auto"/>
        <w:left w:val="none" w:sz="0" w:space="0" w:color="auto"/>
        <w:bottom w:val="none" w:sz="0" w:space="0" w:color="auto"/>
        <w:right w:val="none" w:sz="0" w:space="0" w:color="auto"/>
      </w:divBdr>
    </w:div>
    <w:div w:id="511115506">
      <w:bodyDiv w:val="1"/>
      <w:marLeft w:val="0"/>
      <w:marRight w:val="0"/>
      <w:marTop w:val="0"/>
      <w:marBottom w:val="0"/>
      <w:divBdr>
        <w:top w:val="none" w:sz="0" w:space="0" w:color="auto"/>
        <w:left w:val="none" w:sz="0" w:space="0" w:color="auto"/>
        <w:bottom w:val="none" w:sz="0" w:space="0" w:color="auto"/>
        <w:right w:val="none" w:sz="0" w:space="0" w:color="auto"/>
      </w:divBdr>
    </w:div>
    <w:div w:id="516507333">
      <w:bodyDiv w:val="1"/>
      <w:marLeft w:val="0"/>
      <w:marRight w:val="0"/>
      <w:marTop w:val="0"/>
      <w:marBottom w:val="0"/>
      <w:divBdr>
        <w:top w:val="none" w:sz="0" w:space="0" w:color="auto"/>
        <w:left w:val="none" w:sz="0" w:space="0" w:color="auto"/>
        <w:bottom w:val="none" w:sz="0" w:space="0" w:color="auto"/>
        <w:right w:val="none" w:sz="0" w:space="0" w:color="auto"/>
      </w:divBdr>
    </w:div>
    <w:div w:id="567494639">
      <w:bodyDiv w:val="1"/>
      <w:marLeft w:val="0"/>
      <w:marRight w:val="0"/>
      <w:marTop w:val="0"/>
      <w:marBottom w:val="0"/>
      <w:divBdr>
        <w:top w:val="none" w:sz="0" w:space="0" w:color="auto"/>
        <w:left w:val="none" w:sz="0" w:space="0" w:color="auto"/>
        <w:bottom w:val="none" w:sz="0" w:space="0" w:color="auto"/>
        <w:right w:val="none" w:sz="0" w:space="0" w:color="auto"/>
      </w:divBdr>
    </w:div>
    <w:div w:id="590041422">
      <w:bodyDiv w:val="1"/>
      <w:marLeft w:val="0"/>
      <w:marRight w:val="0"/>
      <w:marTop w:val="0"/>
      <w:marBottom w:val="0"/>
      <w:divBdr>
        <w:top w:val="none" w:sz="0" w:space="0" w:color="auto"/>
        <w:left w:val="none" w:sz="0" w:space="0" w:color="auto"/>
        <w:bottom w:val="none" w:sz="0" w:space="0" w:color="auto"/>
        <w:right w:val="none" w:sz="0" w:space="0" w:color="auto"/>
      </w:divBdr>
    </w:div>
    <w:div w:id="632491130">
      <w:bodyDiv w:val="1"/>
      <w:marLeft w:val="0"/>
      <w:marRight w:val="0"/>
      <w:marTop w:val="0"/>
      <w:marBottom w:val="0"/>
      <w:divBdr>
        <w:top w:val="none" w:sz="0" w:space="0" w:color="auto"/>
        <w:left w:val="none" w:sz="0" w:space="0" w:color="auto"/>
        <w:bottom w:val="none" w:sz="0" w:space="0" w:color="auto"/>
        <w:right w:val="none" w:sz="0" w:space="0" w:color="auto"/>
      </w:divBdr>
      <w:divsChild>
        <w:div w:id="393158749">
          <w:marLeft w:val="0"/>
          <w:marRight w:val="0"/>
          <w:marTop w:val="0"/>
          <w:marBottom w:val="0"/>
          <w:divBdr>
            <w:top w:val="none" w:sz="0" w:space="0" w:color="auto"/>
            <w:left w:val="none" w:sz="0" w:space="0" w:color="auto"/>
            <w:bottom w:val="none" w:sz="0" w:space="0" w:color="auto"/>
            <w:right w:val="none" w:sz="0" w:space="0" w:color="auto"/>
          </w:divBdr>
          <w:divsChild>
            <w:div w:id="390231339">
              <w:marLeft w:val="0"/>
              <w:marRight w:val="0"/>
              <w:marTop w:val="0"/>
              <w:marBottom w:val="0"/>
              <w:divBdr>
                <w:top w:val="none" w:sz="0" w:space="0" w:color="auto"/>
                <w:left w:val="none" w:sz="0" w:space="0" w:color="auto"/>
                <w:bottom w:val="none" w:sz="0" w:space="0" w:color="auto"/>
                <w:right w:val="none" w:sz="0" w:space="0" w:color="auto"/>
              </w:divBdr>
              <w:divsChild>
                <w:div w:id="592008519">
                  <w:marLeft w:val="0"/>
                  <w:marRight w:val="0"/>
                  <w:marTop w:val="0"/>
                  <w:marBottom w:val="0"/>
                  <w:divBdr>
                    <w:top w:val="none" w:sz="0" w:space="0" w:color="auto"/>
                    <w:left w:val="none" w:sz="0" w:space="0" w:color="auto"/>
                    <w:bottom w:val="none" w:sz="0" w:space="0" w:color="auto"/>
                    <w:right w:val="none" w:sz="0" w:space="0" w:color="auto"/>
                  </w:divBdr>
                  <w:divsChild>
                    <w:div w:id="691147751">
                      <w:marLeft w:val="0"/>
                      <w:marRight w:val="0"/>
                      <w:marTop w:val="0"/>
                      <w:marBottom w:val="0"/>
                      <w:divBdr>
                        <w:top w:val="none" w:sz="0" w:space="0" w:color="auto"/>
                        <w:left w:val="none" w:sz="0" w:space="0" w:color="auto"/>
                        <w:bottom w:val="none" w:sz="0" w:space="0" w:color="auto"/>
                        <w:right w:val="none" w:sz="0" w:space="0" w:color="auto"/>
                      </w:divBdr>
                      <w:divsChild>
                        <w:div w:id="1669481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001148">
      <w:bodyDiv w:val="1"/>
      <w:marLeft w:val="0"/>
      <w:marRight w:val="0"/>
      <w:marTop w:val="0"/>
      <w:marBottom w:val="0"/>
      <w:divBdr>
        <w:top w:val="none" w:sz="0" w:space="0" w:color="auto"/>
        <w:left w:val="none" w:sz="0" w:space="0" w:color="auto"/>
        <w:bottom w:val="none" w:sz="0" w:space="0" w:color="auto"/>
        <w:right w:val="none" w:sz="0" w:space="0" w:color="auto"/>
      </w:divBdr>
      <w:divsChild>
        <w:div w:id="2090729763">
          <w:marLeft w:val="0"/>
          <w:marRight w:val="0"/>
          <w:marTop w:val="0"/>
          <w:marBottom w:val="0"/>
          <w:divBdr>
            <w:top w:val="none" w:sz="0" w:space="0" w:color="auto"/>
            <w:left w:val="none" w:sz="0" w:space="0" w:color="auto"/>
            <w:bottom w:val="none" w:sz="0" w:space="0" w:color="auto"/>
            <w:right w:val="none" w:sz="0" w:space="0" w:color="auto"/>
          </w:divBdr>
          <w:divsChild>
            <w:div w:id="1362825754">
              <w:marLeft w:val="0"/>
              <w:marRight w:val="0"/>
              <w:marTop w:val="0"/>
              <w:marBottom w:val="0"/>
              <w:divBdr>
                <w:top w:val="none" w:sz="0" w:space="0" w:color="auto"/>
                <w:left w:val="none" w:sz="0" w:space="0" w:color="auto"/>
                <w:bottom w:val="none" w:sz="0" w:space="0" w:color="auto"/>
                <w:right w:val="none" w:sz="0" w:space="0" w:color="auto"/>
              </w:divBdr>
              <w:divsChild>
                <w:div w:id="660618850">
                  <w:marLeft w:val="0"/>
                  <w:marRight w:val="0"/>
                  <w:marTop w:val="0"/>
                  <w:marBottom w:val="0"/>
                  <w:divBdr>
                    <w:top w:val="none" w:sz="0" w:space="0" w:color="auto"/>
                    <w:left w:val="none" w:sz="0" w:space="0" w:color="auto"/>
                    <w:bottom w:val="none" w:sz="0" w:space="0" w:color="auto"/>
                    <w:right w:val="none" w:sz="0" w:space="0" w:color="auto"/>
                  </w:divBdr>
                  <w:divsChild>
                    <w:div w:id="1927222281">
                      <w:marLeft w:val="0"/>
                      <w:marRight w:val="0"/>
                      <w:marTop w:val="0"/>
                      <w:marBottom w:val="0"/>
                      <w:divBdr>
                        <w:top w:val="none" w:sz="0" w:space="0" w:color="auto"/>
                        <w:left w:val="none" w:sz="0" w:space="0" w:color="auto"/>
                        <w:bottom w:val="none" w:sz="0" w:space="0" w:color="auto"/>
                        <w:right w:val="none" w:sz="0" w:space="0" w:color="auto"/>
                      </w:divBdr>
                      <w:divsChild>
                        <w:div w:id="716853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8849758">
      <w:bodyDiv w:val="1"/>
      <w:marLeft w:val="0"/>
      <w:marRight w:val="0"/>
      <w:marTop w:val="0"/>
      <w:marBottom w:val="0"/>
      <w:divBdr>
        <w:top w:val="none" w:sz="0" w:space="0" w:color="auto"/>
        <w:left w:val="none" w:sz="0" w:space="0" w:color="auto"/>
        <w:bottom w:val="none" w:sz="0" w:space="0" w:color="auto"/>
        <w:right w:val="none" w:sz="0" w:space="0" w:color="auto"/>
      </w:divBdr>
      <w:divsChild>
        <w:div w:id="1178159470">
          <w:marLeft w:val="0"/>
          <w:marRight w:val="0"/>
          <w:marTop w:val="0"/>
          <w:marBottom w:val="0"/>
          <w:divBdr>
            <w:top w:val="none" w:sz="0" w:space="0" w:color="auto"/>
            <w:left w:val="none" w:sz="0" w:space="0" w:color="auto"/>
            <w:bottom w:val="none" w:sz="0" w:space="0" w:color="auto"/>
            <w:right w:val="none" w:sz="0" w:space="0" w:color="auto"/>
          </w:divBdr>
          <w:divsChild>
            <w:div w:id="1540973507">
              <w:marLeft w:val="0"/>
              <w:marRight w:val="0"/>
              <w:marTop w:val="0"/>
              <w:marBottom w:val="0"/>
              <w:divBdr>
                <w:top w:val="none" w:sz="0" w:space="0" w:color="auto"/>
                <w:left w:val="none" w:sz="0" w:space="0" w:color="auto"/>
                <w:bottom w:val="none" w:sz="0" w:space="0" w:color="auto"/>
                <w:right w:val="none" w:sz="0" w:space="0" w:color="auto"/>
              </w:divBdr>
              <w:divsChild>
                <w:div w:id="1420172175">
                  <w:marLeft w:val="0"/>
                  <w:marRight w:val="0"/>
                  <w:marTop w:val="0"/>
                  <w:marBottom w:val="0"/>
                  <w:divBdr>
                    <w:top w:val="none" w:sz="0" w:space="0" w:color="auto"/>
                    <w:left w:val="none" w:sz="0" w:space="0" w:color="auto"/>
                    <w:bottom w:val="none" w:sz="0" w:space="0" w:color="auto"/>
                    <w:right w:val="none" w:sz="0" w:space="0" w:color="auto"/>
                  </w:divBdr>
                  <w:divsChild>
                    <w:div w:id="813641446">
                      <w:marLeft w:val="0"/>
                      <w:marRight w:val="0"/>
                      <w:marTop w:val="0"/>
                      <w:marBottom w:val="0"/>
                      <w:divBdr>
                        <w:top w:val="none" w:sz="0" w:space="0" w:color="auto"/>
                        <w:left w:val="none" w:sz="0" w:space="0" w:color="auto"/>
                        <w:bottom w:val="none" w:sz="0" w:space="0" w:color="auto"/>
                        <w:right w:val="none" w:sz="0" w:space="0" w:color="auto"/>
                      </w:divBdr>
                      <w:divsChild>
                        <w:div w:id="227349000">
                          <w:marLeft w:val="0"/>
                          <w:marRight w:val="0"/>
                          <w:marTop w:val="0"/>
                          <w:marBottom w:val="0"/>
                          <w:divBdr>
                            <w:top w:val="none" w:sz="0" w:space="0" w:color="auto"/>
                            <w:left w:val="none" w:sz="0" w:space="0" w:color="auto"/>
                            <w:bottom w:val="none" w:sz="0" w:space="0" w:color="auto"/>
                            <w:right w:val="none" w:sz="0" w:space="0" w:color="auto"/>
                          </w:divBdr>
                          <w:divsChild>
                            <w:div w:id="1446271606">
                              <w:marLeft w:val="0"/>
                              <w:marRight w:val="0"/>
                              <w:marTop w:val="0"/>
                              <w:marBottom w:val="0"/>
                              <w:divBdr>
                                <w:top w:val="none" w:sz="0" w:space="0" w:color="auto"/>
                                <w:left w:val="none" w:sz="0" w:space="0" w:color="auto"/>
                                <w:bottom w:val="none" w:sz="0" w:space="0" w:color="auto"/>
                                <w:right w:val="none" w:sz="0" w:space="0" w:color="auto"/>
                              </w:divBdr>
                            </w:div>
                            <w:div w:id="195000802">
                              <w:marLeft w:val="0"/>
                              <w:marRight w:val="0"/>
                              <w:marTop w:val="0"/>
                              <w:marBottom w:val="0"/>
                              <w:divBdr>
                                <w:top w:val="none" w:sz="0" w:space="0" w:color="auto"/>
                                <w:left w:val="none" w:sz="0" w:space="0" w:color="auto"/>
                                <w:bottom w:val="none" w:sz="0" w:space="0" w:color="auto"/>
                                <w:right w:val="none" w:sz="0" w:space="0" w:color="auto"/>
                              </w:divBdr>
                            </w:div>
                          </w:divsChild>
                        </w:div>
                        <w:div w:id="1326973678">
                          <w:marLeft w:val="0"/>
                          <w:marRight w:val="0"/>
                          <w:marTop w:val="0"/>
                          <w:marBottom w:val="0"/>
                          <w:divBdr>
                            <w:top w:val="none" w:sz="0" w:space="0" w:color="auto"/>
                            <w:left w:val="none" w:sz="0" w:space="0" w:color="auto"/>
                            <w:bottom w:val="none" w:sz="0" w:space="0" w:color="auto"/>
                            <w:right w:val="none" w:sz="0" w:space="0" w:color="auto"/>
                          </w:divBdr>
                        </w:div>
                        <w:div w:id="198111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879483">
      <w:bodyDiv w:val="1"/>
      <w:marLeft w:val="0"/>
      <w:marRight w:val="0"/>
      <w:marTop w:val="0"/>
      <w:marBottom w:val="0"/>
      <w:divBdr>
        <w:top w:val="none" w:sz="0" w:space="0" w:color="auto"/>
        <w:left w:val="none" w:sz="0" w:space="0" w:color="auto"/>
        <w:bottom w:val="none" w:sz="0" w:space="0" w:color="auto"/>
        <w:right w:val="none" w:sz="0" w:space="0" w:color="auto"/>
      </w:divBdr>
    </w:div>
    <w:div w:id="672535231">
      <w:bodyDiv w:val="1"/>
      <w:marLeft w:val="0"/>
      <w:marRight w:val="0"/>
      <w:marTop w:val="0"/>
      <w:marBottom w:val="0"/>
      <w:divBdr>
        <w:top w:val="none" w:sz="0" w:space="0" w:color="auto"/>
        <w:left w:val="none" w:sz="0" w:space="0" w:color="auto"/>
        <w:bottom w:val="none" w:sz="0" w:space="0" w:color="auto"/>
        <w:right w:val="none" w:sz="0" w:space="0" w:color="auto"/>
      </w:divBdr>
    </w:div>
    <w:div w:id="701705404">
      <w:bodyDiv w:val="1"/>
      <w:marLeft w:val="0"/>
      <w:marRight w:val="0"/>
      <w:marTop w:val="0"/>
      <w:marBottom w:val="0"/>
      <w:divBdr>
        <w:top w:val="none" w:sz="0" w:space="0" w:color="auto"/>
        <w:left w:val="none" w:sz="0" w:space="0" w:color="auto"/>
        <w:bottom w:val="none" w:sz="0" w:space="0" w:color="auto"/>
        <w:right w:val="none" w:sz="0" w:space="0" w:color="auto"/>
      </w:divBdr>
    </w:div>
    <w:div w:id="735320371">
      <w:bodyDiv w:val="1"/>
      <w:marLeft w:val="0"/>
      <w:marRight w:val="0"/>
      <w:marTop w:val="0"/>
      <w:marBottom w:val="0"/>
      <w:divBdr>
        <w:top w:val="none" w:sz="0" w:space="0" w:color="auto"/>
        <w:left w:val="none" w:sz="0" w:space="0" w:color="auto"/>
        <w:bottom w:val="none" w:sz="0" w:space="0" w:color="auto"/>
        <w:right w:val="none" w:sz="0" w:space="0" w:color="auto"/>
      </w:divBdr>
    </w:div>
    <w:div w:id="762992064">
      <w:bodyDiv w:val="1"/>
      <w:marLeft w:val="0"/>
      <w:marRight w:val="0"/>
      <w:marTop w:val="0"/>
      <w:marBottom w:val="0"/>
      <w:divBdr>
        <w:top w:val="none" w:sz="0" w:space="0" w:color="auto"/>
        <w:left w:val="none" w:sz="0" w:space="0" w:color="auto"/>
        <w:bottom w:val="none" w:sz="0" w:space="0" w:color="auto"/>
        <w:right w:val="none" w:sz="0" w:space="0" w:color="auto"/>
      </w:divBdr>
    </w:div>
    <w:div w:id="766121729">
      <w:bodyDiv w:val="1"/>
      <w:marLeft w:val="0"/>
      <w:marRight w:val="0"/>
      <w:marTop w:val="0"/>
      <w:marBottom w:val="0"/>
      <w:divBdr>
        <w:top w:val="none" w:sz="0" w:space="0" w:color="auto"/>
        <w:left w:val="none" w:sz="0" w:space="0" w:color="auto"/>
        <w:bottom w:val="none" w:sz="0" w:space="0" w:color="auto"/>
        <w:right w:val="none" w:sz="0" w:space="0" w:color="auto"/>
      </w:divBdr>
    </w:div>
    <w:div w:id="819149420">
      <w:bodyDiv w:val="1"/>
      <w:marLeft w:val="0"/>
      <w:marRight w:val="0"/>
      <w:marTop w:val="0"/>
      <w:marBottom w:val="0"/>
      <w:divBdr>
        <w:top w:val="none" w:sz="0" w:space="0" w:color="auto"/>
        <w:left w:val="none" w:sz="0" w:space="0" w:color="auto"/>
        <w:bottom w:val="none" w:sz="0" w:space="0" w:color="auto"/>
        <w:right w:val="none" w:sz="0" w:space="0" w:color="auto"/>
      </w:divBdr>
      <w:divsChild>
        <w:div w:id="250703908">
          <w:marLeft w:val="0"/>
          <w:marRight w:val="0"/>
          <w:marTop w:val="0"/>
          <w:marBottom w:val="0"/>
          <w:divBdr>
            <w:top w:val="none" w:sz="0" w:space="0" w:color="auto"/>
            <w:left w:val="none" w:sz="0" w:space="0" w:color="auto"/>
            <w:bottom w:val="none" w:sz="0" w:space="0" w:color="auto"/>
            <w:right w:val="none" w:sz="0" w:space="0" w:color="auto"/>
          </w:divBdr>
          <w:divsChild>
            <w:div w:id="75904474">
              <w:marLeft w:val="0"/>
              <w:marRight w:val="0"/>
              <w:marTop w:val="0"/>
              <w:marBottom w:val="0"/>
              <w:divBdr>
                <w:top w:val="none" w:sz="0" w:space="0" w:color="auto"/>
                <w:left w:val="none" w:sz="0" w:space="0" w:color="auto"/>
                <w:bottom w:val="none" w:sz="0" w:space="0" w:color="auto"/>
                <w:right w:val="none" w:sz="0" w:space="0" w:color="auto"/>
              </w:divBdr>
              <w:divsChild>
                <w:div w:id="254705476">
                  <w:marLeft w:val="0"/>
                  <w:marRight w:val="0"/>
                  <w:marTop w:val="0"/>
                  <w:marBottom w:val="0"/>
                  <w:divBdr>
                    <w:top w:val="none" w:sz="0" w:space="0" w:color="auto"/>
                    <w:left w:val="none" w:sz="0" w:space="0" w:color="auto"/>
                    <w:bottom w:val="none" w:sz="0" w:space="0" w:color="auto"/>
                    <w:right w:val="none" w:sz="0" w:space="0" w:color="auto"/>
                  </w:divBdr>
                  <w:divsChild>
                    <w:div w:id="975187998">
                      <w:marLeft w:val="0"/>
                      <w:marRight w:val="0"/>
                      <w:marTop w:val="0"/>
                      <w:marBottom w:val="0"/>
                      <w:divBdr>
                        <w:top w:val="none" w:sz="0" w:space="0" w:color="auto"/>
                        <w:left w:val="none" w:sz="0" w:space="0" w:color="auto"/>
                        <w:bottom w:val="none" w:sz="0" w:space="0" w:color="auto"/>
                        <w:right w:val="none" w:sz="0" w:space="0" w:color="auto"/>
                      </w:divBdr>
                      <w:divsChild>
                        <w:div w:id="1775519096">
                          <w:marLeft w:val="0"/>
                          <w:marRight w:val="0"/>
                          <w:marTop w:val="0"/>
                          <w:marBottom w:val="0"/>
                          <w:divBdr>
                            <w:top w:val="none" w:sz="0" w:space="0" w:color="auto"/>
                            <w:left w:val="none" w:sz="0" w:space="0" w:color="auto"/>
                            <w:bottom w:val="none" w:sz="0" w:space="0" w:color="auto"/>
                            <w:right w:val="none" w:sz="0" w:space="0" w:color="auto"/>
                          </w:divBdr>
                          <w:divsChild>
                            <w:div w:id="546769886">
                              <w:marLeft w:val="0"/>
                              <w:marRight w:val="0"/>
                              <w:marTop w:val="0"/>
                              <w:marBottom w:val="0"/>
                              <w:divBdr>
                                <w:top w:val="none" w:sz="0" w:space="0" w:color="auto"/>
                                <w:left w:val="none" w:sz="0" w:space="0" w:color="auto"/>
                                <w:bottom w:val="none" w:sz="0" w:space="0" w:color="auto"/>
                                <w:right w:val="none" w:sz="0" w:space="0" w:color="auto"/>
                              </w:divBdr>
                            </w:div>
                            <w:div w:id="1222059117">
                              <w:marLeft w:val="0"/>
                              <w:marRight w:val="0"/>
                              <w:marTop w:val="0"/>
                              <w:marBottom w:val="0"/>
                              <w:divBdr>
                                <w:top w:val="none" w:sz="0" w:space="0" w:color="auto"/>
                                <w:left w:val="none" w:sz="0" w:space="0" w:color="auto"/>
                                <w:bottom w:val="none" w:sz="0" w:space="0" w:color="auto"/>
                                <w:right w:val="none" w:sz="0" w:space="0" w:color="auto"/>
                              </w:divBdr>
                            </w:div>
                          </w:divsChild>
                        </w:div>
                        <w:div w:id="680666157">
                          <w:marLeft w:val="0"/>
                          <w:marRight w:val="0"/>
                          <w:marTop w:val="0"/>
                          <w:marBottom w:val="0"/>
                          <w:divBdr>
                            <w:top w:val="none" w:sz="0" w:space="0" w:color="auto"/>
                            <w:left w:val="none" w:sz="0" w:space="0" w:color="auto"/>
                            <w:bottom w:val="none" w:sz="0" w:space="0" w:color="auto"/>
                            <w:right w:val="none" w:sz="0" w:space="0" w:color="auto"/>
                          </w:divBdr>
                        </w:div>
                        <w:div w:id="1502895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391669">
      <w:bodyDiv w:val="1"/>
      <w:marLeft w:val="0"/>
      <w:marRight w:val="0"/>
      <w:marTop w:val="0"/>
      <w:marBottom w:val="0"/>
      <w:divBdr>
        <w:top w:val="none" w:sz="0" w:space="0" w:color="auto"/>
        <w:left w:val="none" w:sz="0" w:space="0" w:color="auto"/>
        <w:bottom w:val="none" w:sz="0" w:space="0" w:color="auto"/>
        <w:right w:val="none" w:sz="0" w:space="0" w:color="auto"/>
      </w:divBdr>
    </w:div>
    <w:div w:id="842664377">
      <w:bodyDiv w:val="1"/>
      <w:marLeft w:val="0"/>
      <w:marRight w:val="0"/>
      <w:marTop w:val="0"/>
      <w:marBottom w:val="0"/>
      <w:divBdr>
        <w:top w:val="none" w:sz="0" w:space="0" w:color="auto"/>
        <w:left w:val="none" w:sz="0" w:space="0" w:color="auto"/>
        <w:bottom w:val="none" w:sz="0" w:space="0" w:color="auto"/>
        <w:right w:val="none" w:sz="0" w:space="0" w:color="auto"/>
      </w:divBdr>
      <w:divsChild>
        <w:div w:id="652216802">
          <w:marLeft w:val="0"/>
          <w:marRight w:val="0"/>
          <w:marTop w:val="0"/>
          <w:marBottom w:val="0"/>
          <w:divBdr>
            <w:top w:val="none" w:sz="0" w:space="0" w:color="auto"/>
            <w:left w:val="none" w:sz="0" w:space="0" w:color="auto"/>
            <w:bottom w:val="none" w:sz="0" w:space="0" w:color="auto"/>
            <w:right w:val="none" w:sz="0" w:space="0" w:color="auto"/>
          </w:divBdr>
          <w:divsChild>
            <w:div w:id="1356006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7867085">
      <w:bodyDiv w:val="1"/>
      <w:marLeft w:val="0"/>
      <w:marRight w:val="0"/>
      <w:marTop w:val="0"/>
      <w:marBottom w:val="0"/>
      <w:divBdr>
        <w:top w:val="none" w:sz="0" w:space="0" w:color="auto"/>
        <w:left w:val="none" w:sz="0" w:space="0" w:color="auto"/>
        <w:bottom w:val="none" w:sz="0" w:space="0" w:color="auto"/>
        <w:right w:val="none" w:sz="0" w:space="0" w:color="auto"/>
      </w:divBdr>
    </w:div>
    <w:div w:id="859854885">
      <w:bodyDiv w:val="1"/>
      <w:marLeft w:val="0"/>
      <w:marRight w:val="0"/>
      <w:marTop w:val="0"/>
      <w:marBottom w:val="0"/>
      <w:divBdr>
        <w:top w:val="none" w:sz="0" w:space="0" w:color="auto"/>
        <w:left w:val="none" w:sz="0" w:space="0" w:color="auto"/>
        <w:bottom w:val="none" w:sz="0" w:space="0" w:color="auto"/>
        <w:right w:val="none" w:sz="0" w:space="0" w:color="auto"/>
      </w:divBdr>
    </w:div>
    <w:div w:id="870723110">
      <w:bodyDiv w:val="1"/>
      <w:marLeft w:val="0"/>
      <w:marRight w:val="0"/>
      <w:marTop w:val="0"/>
      <w:marBottom w:val="0"/>
      <w:divBdr>
        <w:top w:val="none" w:sz="0" w:space="0" w:color="auto"/>
        <w:left w:val="none" w:sz="0" w:space="0" w:color="auto"/>
        <w:bottom w:val="none" w:sz="0" w:space="0" w:color="auto"/>
        <w:right w:val="none" w:sz="0" w:space="0" w:color="auto"/>
      </w:divBdr>
      <w:divsChild>
        <w:div w:id="1070928138">
          <w:marLeft w:val="0"/>
          <w:marRight w:val="0"/>
          <w:marTop w:val="0"/>
          <w:marBottom w:val="0"/>
          <w:divBdr>
            <w:top w:val="none" w:sz="0" w:space="0" w:color="auto"/>
            <w:left w:val="none" w:sz="0" w:space="0" w:color="auto"/>
            <w:bottom w:val="none" w:sz="0" w:space="0" w:color="auto"/>
            <w:right w:val="none" w:sz="0" w:space="0" w:color="auto"/>
          </w:divBdr>
          <w:divsChild>
            <w:div w:id="1310866830">
              <w:marLeft w:val="0"/>
              <w:marRight w:val="1740"/>
              <w:marTop w:val="0"/>
              <w:marBottom w:val="0"/>
              <w:divBdr>
                <w:top w:val="none" w:sz="0" w:space="0" w:color="auto"/>
                <w:left w:val="none" w:sz="0" w:space="0" w:color="auto"/>
                <w:bottom w:val="none" w:sz="0" w:space="0" w:color="auto"/>
                <w:right w:val="none" w:sz="0" w:space="0" w:color="auto"/>
              </w:divBdr>
            </w:div>
            <w:div w:id="208950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086543">
      <w:bodyDiv w:val="1"/>
      <w:marLeft w:val="0"/>
      <w:marRight w:val="0"/>
      <w:marTop w:val="0"/>
      <w:marBottom w:val="0"/>
      <w:divBdr>
        <w:top w:val="none" w:sz="0" w:space="0" w:color="auto"/>
        <w:left w:val="none" w:sz="0" w:space="0" w:color="auto"/>
        <w:bottom w:val="none" w:sz="0" w:space="0" w:color="auto"/>
        <w:right w:val="none" w:sz="0" w:space="0" w:color="auto"/>
      </w:divBdr>
      <w:divsChild>
        <w:div w:id="413598822">
          <w:marLeft w:val="0"/>
          <w:marRight w:val="0"/>
          <w:marTop w:val="0"/>
          <w:marBottom w:val="0"/>
          <w:divBdr>
            <w:top w:val="none" w:sz="0" w:space="0" w:color="auto"/>
            <w:left w:val="none" w:sz="0" w:space="0" w:color="auto"/>
            <w:bottom w:val="none" w:sz="0" w:space="0" w:color="auto"/>
            <w:right w:val="none" w:sz="0" w:space="0" w:color="auto"/>
          </w:divBdr>
          <w:divsChild>
            <w:div w:id="131224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890032">
      <w:bodyDiv w:val="1"/>
      <w:marLeft w:val="0"/>
      <w:marRight w:val="0"/>
      <w:marTop w:val="0"/>
      <w:marBottom w:val="0"/>
      <w:divBdr>
        <w:top w:val="none" w:sz="0" w:space="0" w:color="auto"/>
        <w:left w:val="none" w:sz="0" w:space="0" w:color="auto"/>
        <w:bottom w:val="none" w:sz="0" w:space="0" w:color="auto"/>
        <w:right w:val="none" w:sz="0" w:space="0" w:color="auto"/>
      </w:divBdr>
    </w:div>
    <w:div w:id="953514894">
      <w:bodyDiv w:val="1"/>
      <w:marLeft w:val="0"/>
      <w:marRight w:val="0"/>
      <w:marTop w:val="0"/>
      <w:marBottom w:val="0"/>
      <w:divBdr>
        <w:top w:val="none" w:sz="0" w:space="0" w:color="auto"/>
        <w:left w:val="none" w:sz="0" w:space="0" w:color="auto"/>
        <w:bottom w:val="none" w:sz="0" w:space="0" w:color="auto"/>
        <w:right w:val="none" w:sz="0" w:space="0" w:color="auto"/>
      </w:divBdr>
    </w:div>
    <w:div w:id="963003288">
      <w:bodyDiv w:val="1"/>
      <w:marLeft w:val="0"/>
      <w:marRight w:val="0"/>
      <w:marTop w:val="0"/>
      <w:marBottom w:val="0"/>
      <w:divBdr>
        <w:top w:val="none" w:sz="0" w:space="0" w:color="auto"/>
        <w:left w:val="none" w:sz="0" w:space="0" w:color="auto"/>
        <w:bottom w:val="none" w:sz="0" w:space="0" w:color="auto"/>
        <w:right w:val="none" w:sz="0" w:space="0" w:color="auto"/>
      </w:divBdr>
      <w:divsChild>
        <w:div w:id="1884559800">
          <w:marLeft w:val="0"/>
          <w:marRight w:val="0"/>
          <w:marTop w:val="0"/>
          <w:marBottom w:val="0"/>
          <w:divBdr>
            <w:top w:val="none" w:sz="0" w:space="0" w:color="auto"/>
            <w:left w:val="none" w:sz="0" w:space="0" w:color="auto"/>
            <w:bottom w:val="none" w:sz="0" w:space="0" w:color="auto"/>
            <w:right w:val="none" w:sz="0" w:space="0" w:color="auto"/>
          </w:divBdr>
          <w:divsChild>
            <w:div w:id="1315379138">
              <w:marLeft w:val="0"/>
              <w:marRight w:val="0"/>
              <w:marTop w:val="0"/>
              <w:marBottom w:val="0"/>
              <w:divBdr>
                <w:top w:val="none" w:sz="0" w:space="0" w:color="auto"/>
                <w:left w:val="none" w:sz="0" w:space="0" w:color="auto"/>
                <w:bottom w:val="none" w:sz="0" w:space="0" w:color="auto"/>
                <w:right w:val="none" w:sz="0" w:space="0" w:color="auto"/>
              </w:divBdr>
              <w:divsChild>
                <w:div w:id="1596549520">
                  <w:marLeft w:val="0"/>
                  <w:marRight w:val="0"/>
                  <w:marTop w:val="0"/>
                  <w:marBottom w:val="0"/>
                  <w:divBdr>
                    <w:top w:val="none" w:sz="0" w:space="0" w:color="auto"/>
                    <w:left w:val="none" w:sz="0" w:space="0" w:color="auto"/>
                    <w:bottom w:val="none" w:sz="0" w:space="0" w:color="auto"/>
                    <w:right w:val="none" w:sz="0" w:space="0" w:color="auto"/>
                  </w:divBdr>
                  <w:divsChild>
                    <w:div w:id="1180385811">
                      <w:marLeft w:val="0"/>
                      <w:marRight w:val="0"/>
                      <w:marTop w:val="0"/>
                      <w:marBottom w:val="0"/>
                      <w:divBdr>
                        <w:top w:val="none" w:sz="0" w:space="0" w:color="auto"/>
                        <w:left w:val="none" w:sz="0" w:space="0" w:color="auto"/>
                        <w:bottom w:val="none" w:sz="0" w:space="0" w:color="auto"/>
                        <w:right w:val="none" w:sz="0" w:space="0" w:color="auto"/>
                      </w:divBdr>
                      <w:divsChild>
                        <w:div w:id="1007251993">
                          <w:marLeft w:val="0"/>
                          <w:marRight w:val="0"/>
                          <w:marTop w:val="0"/>
                          <w:marBottom w:val="0"/>
                          <w:divBdr>
                            <w:top w:val="none" w:sz="0" w:space="0" w:color="auto"/>
                            <w:left w:val="none" w:sz="0" w:space="0" w:color="auto"/>
                            <w:bottom w:val="none" w:sz="0" w:space="0" w:color="auto"/>
                            <w:right w:val="none" w:sz="0" w:space="0" w:color="auto"/>
                          </w:divBdr>
                          <w:divsChild>
                            <w:div w:id="1809350061">
                              <w:marLeft w:val="0"/>
                              <w:marRight w:val="0"/>
                              <w:marTop w:val="0"/>
                              <w:marBottom w:val="0"/>
                              <w:divBdr>
                                <w:top w:val="none" w:sz="0" w:space="0" w:color="auto"/>
                                <w:left w:val="none" w:sz="0" w:space="0" w:color="auto"/>
                                <w:bottom w:val="none" w:sz="0" w:space="0" w:color="auto"/>
                                <w:right w:val="none" w:sz="0" w:space="0" w:color="auto"/>
                              </w:divBdr>
                            </w:div>
                            <w:div w:id="340207720">
                              <w:marLeft w:val="0"/>
                              <w:marRight w:val="0"/>
                              <w:marTop w:val="0"/>
                              <w:marBottom w:val="0"/>
                              <w:divBdr>
                                <w:top w:val="none" w:sz="0" w:space="0" w:color="auto"/>
                                <w:left w:val="none" w:sz="0" w:space="0" w:color="auto"/>
                                <w:bottom w:val="none" w:sz="0" w:space="0" w:color="auto"/>
                                <w:right w:val="none" w:sz="0" w:space="0" w:color="auto"/>
                              </w:divBdr>
                            </w:div>
                          </w:divsChild>
                        </w:div>
                        <w:div w:id="1582056550">
                          <w:marLeft w:val="0"/>
                          <w:marRight w:val="0"/>
                          <w:marTop w:val="0"/>
                          <w:marBottom w:val="0"/>
                          <w:divBdr>
                            <w:top w:val="none" w:sz="0" w:space="0" w:color="auto"/>
                            <w:left w:val="none" w:sz="0" w:space="0" w:color="auto"/>
                            <w:bottom w:val="none" w:sz="0" w:space="0" w:color="auto"/>
                            <w:right w:val="none" w:sz="0" w:space="0" w:color="auto"/>
                          </w:divBdr>
                        </w:div>
                        <w:div w:id="30358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8676931">
      <w:bodyDiv w:val="1"/>
      <w:marLeft w:val="0"/>
      <w:marRight w:val="0"/>
      <w:marTop w:val="0"/>
      <w:marBottom w:val="0"/>
      <w:divBdr>
        <w:top w:val="none" w:sz="0" w:space="0" w:color="auto"/>
        <w:left w:val="none" w:sz="0" w:space="0" w:color="auto"/>
        <w:bottom w:val="none" w:sz="0" w:space="0" w:color="auto"/>
        <w:right w:val="none" w:sz="0" w:space="0" w:color="auto"/>
      </w:divBdr>
    </w:div>
    <w:div w:id="1000812538">
      <w:bodyDiv w:val="1"/>
      <w:marLeft w:val="0"/>
      <w:marRight w:val="0"/>
      <w:marTop w:val="0"/>
      <w:marBottom w:val="0"/>
      <w:divBdr>
        <w:top w:val="none" w:sz="0" w:space="0" w:color="auto"/>
        <w:left w:val="none" w:sz="0" w:space="0" w:color="auto"/>
        <w:bottom w:val="none" w:sz="0" w:space="0" w:color="auto"/>
        <w:right w:val="none" w:sz="0" w:space="0" w:color="auto"/>
      </w:divBdr>
    </w:div>
    <w:div w:id="1016538631">
      <w:bodyDiv w:val="1"/>
      <w:marLeft w:val="0"/>
      <w:marRight w:val="0"/>
      <w:marTop w:val="0"/>
      <w:marBottom w:val="0"/>
      <w:divBdr>
        <w:top w:val="none" w:sz="0" w:space="0" w:color="auto"/>
        <w:left w:val="none" w:sz="0" w:space="0" w:color="auto"/>
        <w:bottom w:val="none" w:sz="0" w:space="0" w:color="auto"/>
        <w:right w:val="none" w:sz="0" w:space="0" w:color="auto"/>
      </w:divBdr>
      <w:divsChild>
        <w:div w:id="681661357">
          <w:marLeft w:val="0"/>
          <w:marRight w:val="0"/>
          <w:marTop w:val="0"/>
          <w:marBottom w:val="0"/>
          <w:divBdr>
            <w:top w:val="none" w:sz="0" w:space="0" w:color="auto"/>
            <w:left w:val="none" w:sz="0" w:space="0" w:color="auto"/>
            <w:bottom w:val="none" w:sz="0" w:space="0" w:color="auto"/>
            <w:right w:val="none" w:sz="0" w:space="0" w:color="auto"/>
          </w:divBdr>
          <w:divsChild>
            <w:div w:id="1197039954">
              <w:marLeft w:val="0"/>
              <w:marRight w:val="0"/>
              <w:marTop w:val="0"/>
              <w:marBottom w:val="0"/>
              <w:divBdr>
                <w:top w:val="none" w:sz="0" w:space="0" w:color="auto"/>
                <w:left w:val="none" w:sz="0" w:space="0" w:color="auto"/>
                <w:bottom w:val="none" w:sz="0" w:space="0" w:color="auto"/>
                <w:right w:val="none" w:sz="0" w:space="0" w:color="auto"/>
              </w:divBdr>
              <w:divsChild>
                <w:div w:id="67462209">
                  <w:marLeft w:val="0"/>
                  <w:marRight w:val="0"/>
                  <w:marTop w:val="0"/>
                  <w:marBottom w:val="0"/>
                  <w:divBdr>
                    <w:top w:val="none" w:sz="0" w:space="0" w:color="auto"/>
                    <w:left w:val="none" w:sz="0" w:space="0" w:color="auto"/>
                    <w:bottom w:val="none" w:sz="0" w:space="0" w:color="auto"/>
                    <w:right w:val="none" w:sz="0" w:space="0" w:color="auto"/>
                  </w:divBdr>
                  <w:divsChild>
                    <w:div w:id="1701781072">
                      <w:marLeft w:val="0"/>
                      <w:marRight w:val="0"/>
                      <w:marTop w:val="0"/>
                      <w:marBottom w:val="0"/>
                      <w:divBdr>
                        <w:top w:val="none" w:sz="0" w:space="0" w:color="auto"/>
                        <w:left w:val="none" w:sz="0" w:space="0" w:color="auto"/>
                        <w:bottom w:val="none" w:sz="0" w:space="0" w:color="auto"/>
                        <w:right w:val="none" w:sz="0" w:space="0" w:color="auto"/>
                      </w:divBdr>
                      <w:divsChild>
                        <w:div w:id="188564974">
                          <w:marLeft w:val="0"/>
                          <w:marRight w:val="0"/>
                          <w:marTop w:val="0"/>
                          <w:marBottom w:val="0"/>
                          <w:divBdr>
                            <w:top w:val="none" w:sz="0" w:space="0" w:color="auto"/>
                            <w:left w:val="none" w:sz="0" w:space="0" w:color="auto"/>
                            <w:bottom w:val="none" w:sz="0" w:space="0" w:color="auto"/>
                            <w:right w:val="none" w:sz="0" w:space="0" w:color="auto"/>
                          </w:divBdr>
                          <w:divsChild>
                            <w:div w:id="776556596">
                              <w:marLeft w:val="0"/>
                              <w:marRight w:val="0"/>
                              <w:marTop w:val="0"/>
                              <w:marBottom w:val="0"/>
                              <w:divBdr>
                                <w:top w:val="none" w:sz="0" w:space="0" w:color="auto"/>
                                <w:left w:val="none" w:sz="0" w:space="0" w:color="auto"/>
                                <w:bottom w:val="none" w:sz="0" w:space="0" w:color="auto"/>
                                <w:right w:val="none" w:sz="0" w:space="0" w:color="auto"/>
                              </w:divBdr>
                              <w:divsChild>
                                <w:div w:id="213092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9694634">
      <w:bodyDiv w:val="1"/>
      <w:marLeft w:val="0"/>
      <w:marRight w:val="0"/>
      <w:marTop w:val="0"/>
      <w:marBottom w:val="0"/>
      <w:divBdr>
        <w:top w:val="none" w:sz="0" w:space="0" w:color="auto"/>
        <w:left w:val="none" w:sz="0" w:space="0" w:color="auto"/>
        <w:bottom w:val="none" w:sz="0" w:space="0" w:color="auto"/>
        <w:right w:val="none" w:sz="0" w:space="0" w:color="auto"/>
      </w:divBdr>
    </w:div>
    <w:div w:id="1075401130">
      <w:bodyDiv w:val="1"/>
      <w:marLeft w:val="0"/>
      <w:marRight w:val="0"/>
      <w:marTop w:val="0"/>
      <w:marBottom w:val="0"/>
      <w:divBdr>
        <w:top w:val="none" w:sz="0" w:space="0" w:color="auto"/>
        <w:left w:val="none" w:sz="0" w:space="0" w:color="auto"/>
        <w:bottom w:val="none" w:sz="0" w:space="0" w:color="auto"/>
        <w:right w:val="none" w:sz="0" w:space="0" w:color="auto"/>
      </w:divBdr>
    </w:div>
    <w:div w:id="1084297569">
      <w:bodyDiv w:val="1"/>
      <w:marLeft w:val="0"/>
      <w:marRight w:val="0"/>
      <w:marTop w:val="0"/>
      <w:marBottom w:val="0"/>
      <w:divBdr>
        <w:top w:val="none" w:sz="0" w:space="0" w:color="auto"/>
        <w:left w:val="none" w:sz="0" w:space="0" w:color="auto"/>
        <w:bottom w:val="none" w:sz="0" w:space="0" w:color="auto"/>
        <w:right w:val="none" w:sz="0" w:space="0" w:color="auto"/>
      </w:divBdr>
    </w:div>
    <w:div w:id="1085230144">
      <w:bodyDiv w:val="1"/>
      <w:marLeft w:val="0"/>
      <w:marRight w:val="0"/>
      <w:marTop w:val="0"/>
      <w:marBottom w:val="0"/>
      <w:divBdr>
        <w:top w:val="none" w:sz="0" w:space="0" w:color="auto"/>
        <w:left w:val="none" w:sz="0" w:space="0" w:color="auto"/>
        <w:bottom w:val="none" w:sz="0" w:space="0" w:color="auto"/>
        <w:right w:val="none" w:sz="0" w:space="0" w:color="auto"/>
      </w:divBdr>
      <w:divsChild>
        <w:div w:id="793056392">
          <w:marLeft w:val="0"/>
          <w:marRight w:val="0"/>
          <w:marTop w:val="0"/>
          <w:marBottom w:val="0"/>
          <w:divBdr>
            <w:top w:val="none" w:sz="0" w:space="0" w:color="auto"/>
            <w:left w:val="none" w:sz="0" w:space="0" w:color="auto"/>
            <w:bottom w:val="none" w:sz="0" w:space="0" w:color="auto"/>
            <w:right w:val="none" w:sz="0" w:space="0" w:color="auto"/>
          </w:divBdr>
          <w:divsChild>
            <w:div w:id="31117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7052">
      <w:bodyDiv w:val="1"/>
      <w:marLeft w:val="0"/>
      <w:marRight w:val="0"/>
      <w:marTop w:val="0"/>
      <w:marBottom w:val="0"/>
      <w:divBdr>
        <w:top w:val="none" w:sz="0" w:space="0" w:color="auto"/>
        <w:left w:val="none" w:sz="0" w:space="0" w:color="auto"/>
        <w:bottom w:val="none" w:sz="0" w:space="0" w:color="auto"/>
        <w:right w:val="none" w:sz="0" w:space="0" w:color="auto"/>
      </w:divBdr>
    </w:div>
    <w:div w:id="1189101953">
      <w:bodyDiv w:val="1"/>
      <w:marLeft w:val="0"/>
      <w:marRight w:val="0"/>
      <w:marTop w:val="0"/>
      <w:marBottom w:val="0"/>
      <w:divBdr>
        <w:top w:val="none" w:sz="0" w:space="0" w:color="auto"/>
        <w:left w:val="none" w:sz="0" w:space="0" w:color="auto"/>
        <w:bottom w:val="none" w:sz="0" w:space="0" w:color="auto"/>
        <w:right w:val="none" w:sz="0" w:space="0" w:color="auto"/>
      </w:divBdr>
    </w:div>
    <w:div w:id="1208684152">
      <w:bodyDiv w:val="1"/>
      <w:marLeft w:val="0"/>
      <w:marRight w:val="0"/>
      <w:marTop w:val="0"/>
      <w:marBottom w:val="0"/>
      <w:divBdr>
        <w:top w:val="none" w:sz="0" w:space="0" w:color="auto"/>
        <w:left w:val="none" w:sz="0" w:space="0" w:color="auto"/>
        <w:bottom w:val="none" w:sz="0" w:space="0" w:color="auto"/>
        <w:right w:val="none" w:sz="0" w:space="0" w:color="auto"/>
      </w:divBdr>
    </w:div>
    <w:div w:id="1212380377">
      <w:bodyDiv w:val="1"/>
      <w:marLeft w:val="0"/>
      <w:marRight w:val="0"/>
      <w:marTop w:val="0"/>
      <w:marBottom w:val="0"/>
      <w:divBdr>
        <w:top w:val="none" w:sz="0" w:space="0" w:color="auto"/>
        <w:left w:val="none" w:sz="0" w:space="0" w:color="auto"/>
        <w:bottom w:val="none" w:sz="0" w:space="0" w:color="auto"/>
        <w:right w:val="none" w:sz="0" w:space="0" w:color="auto"/>
      </w:divBdr>
      <w:divsChild>
        <w:div w:id="934946580">
          <w:marLeft w:val="0"/>
          <w:marRight w:val="0"/>
          <w:marTop w:val="0"/>
          <w:marBottom w:val="0"/>
          <w:divBdr>
            <w:top w:val="none" w:sz="0" w:space="0" w:color="auto"/>
            <w:left w:val="none" w:sz="0" w:space="0" w:color="auto"/>
            <w:bottom w:val="none" w:sz="0" w:space="0" w:color="auto"/>
            <w:right w:val="none" w:sz="0" w:space="0" w:color="auto"/>
          </w:divBdr>
          <w:divsChild>
            <w:div w:id="108935293">
              <w:marLeft w:val="0"/>
              <w:marRight w:val="0"/>
              <w:marTop w:val="0"/>
              <w:marBottom w:val="0"/>
              <w:divBdr>
                <w:top w:val="none" w:sz="0" w:space="0" w:color="auto"/>
                <w:left w:val="none" w:sz="0" w:space="0" w:color="auto"/>
                <w:bottom w:val="none" w:sz="0" w:space="0" w:color="auto"/>
                <w:right w:val="none" w:sz="0" w:space="0" w:color="auto"/>
              </w:divBdr>
              <w:divsChild>
                <w:div w:id="1832718898">
                  <w:marLeft w:val="0"/>
                  <w:marRight w:val="0"/>
                  <w:marTop w:val="0"/>
                  <w:marBottom w:val="0"/>
                  <w:divBdr>
                    <w:top w:val="none" w:sz="0" w:space="0" w:color="auto"/>
                    <w:left w:val="none" w:sz="0" w:space="0" w:color="auto"/>
                    <w:bottom w:val="none" w:sz="0" w:space="0" w:color="auto"/>
                    <w:right w:val="none" w:sz="0" w:space="0" w:color="auto"/>
                  </w:divBdr>
                  <w:divsChild>
                    <w:div w:id="1038626091">
                      <w:marLeft w:val="0"/>
                      <w:marRight w:val="0"/>
                      <w:marTop w:val="0"/>
                      <w:marBottom w:val="0"/>
                      <w:divBdr>
                        <w:top w:val="none" w:sz="0" w:space="0" w:color="auto"/>
                        <w:left w:val="none" w:sz="0" w:space="0" w:color="auto"/>
                        <w:bottom w:val="none" w:sz="0" w:space="0" w:color="auto"/>
                        <w:right w:val="none" w:sz="0" w:space="0" w:color="auto"/>
                      </w:divBdr>
                      <w:divsChild>
                        <w:div w:id="2028671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7739823">
      <w:bodyDiv w:val="1"/>
      <w:marLeft w:val="0"/>
      <w:marRight w:val="0"/>
      <w:marTop w:val="0"/>
      <w:marBottom w:val="0"/>
      <w:divBdr>
        <w:top w:val="none" w:sz="0" w:space="0" w:color="auto"/>
        <w:left w:val="none" w:sz="0" w:space="0" w:color="auto"/>
        <w:bottom w:val="none" w:sz="0" w:space="0" w:color="auto"/>
        <w:right w:val="none" w:sz="0" w:space="0" w:color="auto"/>
      </w:divBdr>
      <w:divsChild>
        <w:div w:id="374551397">
          <w:marLeft w:val="0"/>
          <w:marRight w:val="0"/>
          <w:marTop w:val="0"/>
          <w:marBottom w:val="0"/>
          <w:divBdr>
            <w:top w:val="none" w:sz="0" w:space="0" w:color="auto"/>
            <w:left w:val="none" w:sz="0" w:space="0" w:color="auto"/>
            <w:bottom w:val="none" w:sz="0" w:space="0" w:color="auto"/>
            <w:right w:val="none" w:sz="0" w:space="0" w:color="auto"/>
          </w:divBdr>
          <w:divsChild>
            <w:div w:id="1284967419">
              <w:marLeft w:val="0"/>
              <w:marRight w:val="0"/>
              <w:marTop w:val="0"/>
              <w:marBottom w:val="0"/>
              <w:divBdr>
                <w:top w:val="none" w:sz="0" w:space="0" w:color="auto"/>
                <w:left w:val="none" w:sz="0" w:space="0" w:color="auto"/>
                <w:bottom w:val="none" w:sz="0" w:space="0" w:color="auto"/>
                <w:right w:val="none" w:sz="0" w:space="0" w:color="auto"/>
              </w:divBdr>
              <w:divsChild>
                <w:div w:id="1758478769">
                  <w:marLeft w:val="0"/>
                  <w:marRight w:val="0"/>
                  <w:marTop w:val="0"/>
                  <w:marBottom w:val="0"/>
                  <w:divBdr>
                    <w:top w:val="none" w:sz="0" w:space="0" w:color="auto"/>
                    <w:left w:val="none" w:sz="0" w:space="0" w:color="auto"/>
                    <w:bottom w:val="none" w:sz="0" w:space="0" w:color="auto"/>
                    <w:right w:val="none" w:sz="0" w:space="0" w:color="auto"/>
                  </w:divBdr>
                  <w:divsChild>
                    <w:div w:id="1240287950">
                      <w:marLeft w:val="0"/>
                      <w:marRight w:val="0"/>
                      <w:marTop w:val="0"/>
                      <w:marBottom w:val="0"/>
                      <w:divBdr>
                        <w:top w:val="none" w:sz="0" w:space="0" w:color="auto"/>
                        <w:left w:val="none" w:sz="0" w:space="0" w:color="auto"/>
                        <w:bottom w:val="none" w:sz="0" w:space="0" w:color="auto"/>
                        <w:right w:val="none" w:sz="0" w:space="0" w:color="auto"/>
                      </w:divBdr>
                      <w:divsChild>
                        <w:div w:id="877164063">
                          <w:marLeft w:val="0"/>
                          <w:marRight w:val="0"/>
                          <w:marTop w:val="0"/>
                          <w:marBottom w:val="0"/>
                          <w:divBdr>
                            <w:top w:val="none" w:sz="0" w:space="0" w:color="auto"/>
                            <w:left w:val="none" w:sz="0" w:space="0" w:color="auto"/>
                            <w:bottom w:val="none" w:sz="0" w:space="0" w:color="auto"/>
                            <w:right w:val="none" w:sz="0" w:space="0" w:color="auto"/>
                          </w:divBdr>
                          <w:divsChild>
                            <w:div w:id="354426443">
                              <w:marLeft w:val="0"/>
                              <w:marRight w:val="0"/>
                              <w:marTop w:val="0"/>
                              <w:marBottom w:val="0"/>
                              <w:divBdr>
                                <w:top w:val="none" w:sz="0" w:space="0" w:color="auto"/>
                                <w:left w:val="none" w:sz="0" w:space="0" w:color="auto"/>
                                <w:bottom w:val="none" w:sz="0" w:space="0" w:color="auto"/>
                                <w:right w:val="none" w:sz="0" w:space="0" w:color="auto"/>
                              </w:divBdr>
                            </w:div>
                            <w:div w:id="943725918">
                              <w:marLeft w:val="0"/>
                              <w:marRight w:val="0"/>
                              <w:marTop w:val="0"/>
                              <w:marBottom w:val="0"/>
                              <w:divBdr>
                                <w:top w:val="none" w:sz="0" w:space="0" w:color="auto"/>
                                <w:left w:val="none" w:sz="0" w:space="0" w:color="auto"/>
                                <w:bottom w:val="none" w:sz="0" w:space="0" w:color="auto"/>
                                <w:right w:val="none" w:sz="0" w:space="0" w:color="auto"/>
                              </w:divBdr>
                            </w:div>
                          </w:divsChild>
                        </w:div>
                        <w:div w:id="814223335">
                          <w:marLeft w:val="0"/>
                          <w:marRight w:val="0"/>
                          <w:marTop w:val="0"/>
                          <w:marBottom w:val="0"/>
                          <w:divBdr>
                            <w:top w:val="none" w:sz="0" w:space="0" w:color="auto"/>
                            <w:left w:val="none" w:sz="0" w:space="0" w:color="auto"/>
                            <w:bottom w:val="none" w:sz="0" w:space="0" w:color="auto"/>
                            <w:right w:val="none" w:sz="0" w:space="0" w:color="auto"/>
                          </w:divBdr>
                        </w:div>
                        <w:div w:id="56152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7396533">
      <w:bodyDiv w:val="1"/>
      <w:marLeft w:val="0"/>
      <w:marRight w:val="0"/>
      <w:marTop w:val="0"/>
      <w:marBottom w:val="0"/>
      <w:divBdr>
        <w:top w:val="none" w:sz="0" w:space="0" w:color="auto"/>
        <w:left w:val="none" w:sz="0" w:space="0" w:color="auto"/>
        <w:bottom w:val="none" w:sz="0" w:space="0" w:color="auto"/>
        <w:right w:val="none" w:sz="0" w:space="0" w:color="auto"/>
      </w:divBdr>
    </w:div>
    <w:div w:id="1239289388">
      <w:bodyDiv w:val="1"/>
      <w:marLeft w:val="0"/>
      <w:marRight w:val="0"/>
      <w:marTop w:val="0"/>
      <w:marBottom w:val="0"/>
      <w:divBdr>
        <w:top w:val="none" w:sz="0" w:space="0" w:color="auto"/>
        <w:left w:val="none" w:sz="0" w:space="0" w:color="auto"/>
        <w:bottom w:val="none" w:sz="0" w:space="0" w:color="auto"/>
        <w:right w:val="none" w:sz="0" w:space="0" w:color="auto"/>
      </w:divBdr>
    </w:div>
    <w:div w:id="1245259325">
      <w:bodyDiv w:val="1"/>
      <w:marLeft w:val="0"/>
      <w:marRight w:val="0"/>
      <w:marTop w:val="0"/>
      <w:marBottom w:val="0"/>
      <w:divBdr>
        <w:top w:val="none" w:sz="0" w:space="0" w:color="auto"/>
        <w:left w:val="none" w:sz="0" w:space="0" w:color="auto"/>
        <w:bottom w:val="none" w:sz="0" w:space="0" w:color="auto"/>
        <w:right w:val="none" w:sz="0" w:space="0" w:color="auto"/>
      </w:divBdr>
    </w:div>
    <w:div w:id="1256554313">
      <w:bodyDiv w:val="1"/>
      <w:marLeft w:val="0"/>
      <w:marRight w:val="0"/>
      <w:marTop w:val="0"/>
      <w:marBottom w:val="0"/>
      <w:divBdr>
        <w:top w:val="none" w:sz="0" w:space="0" w:color="auto"/>
        <w:left w:val="none" w:sz="0" w:space="0" w:color="auto"/>
        <w:bottom w:val="none" w:sz="0" w:space="0" w:color="auto"/>
        <w:right w:val="none" w:sz="0" w:space="0" w:color="auto"/>
      </w:divBdr>
    </w:div>
    <w:div w:id="1314599820">
      <w:bodyDiv w:val="1"/>
      <w:marLeft w:val="0"/>
      <w:marRight w:val="0"/>
      <w:marTop w:val="0"/>
      <w:marBottom w:val="0"/>
      <w:divBdr>
        <w:top w:val="none" w:sz="0" w:space="0" w:color="auto"/>
        <w:left w:val="none" w:sz="0" w:space="0" w:color="auto"/>
        <w:bottom w:val="none" w:sz="0" w:space="0" w:color="auto"/>
        <w:right w:val="none" w:sz="0" w:space="0" w:color="auto"/>
      </w:divBdr>
    </w:div>
    <w:div w:id="1322853108">
      <w:bodyDiv w:val="1"/>
      <w:marLeft w:val="0"/>
      <w:marRight w:val="0"/>
      <w:marTop w:val="0"/>
      <w:marBottom w:val="0"/>
      <w:divBdr>
        <w:top w:val="none" w:sz="0" w:space="0" w:color="auto"/>
        <w:left w:val="none" w:sz="0" w:space="0" w:color="auto"/>
        <w:bottom w:val="none" w:sz="0" w:space="0" w:color="auto"/>
        <w:right w:val="none" w:sz="0" w:space="0" w:color="auto"/>
      </w:divBdr>
      <w:divsChild>
        <w:div w:id="2049841995">
          <w:marLeft w:val="0"/>
          <w:marRight w:val="0"/>
          <w:marTop w:val="0"/>
          <w:marBottom w:val="0"/>
          <w:divBdr>
            <w:top w:val="none" w:sz="0" w:space="0" w:color="auto"/>
            <w:left w:val="none" w:sz="0" w:space="0" w:color="auto"/>
            <w:bottom w:val="none" w:sz="0" w:space="0" w:color="auto"/>
            <w:right w:val="none" w:sz="0" w:space="0" w:color="auto"/>
          </w:divBdr>
          <w:divsChild>
            <w:div w:id="2043899790">
              <w:marLeft w:val="0"/>
              <w:marRight w:val="0"/>
              <w:marTop w:val="0"/>
              <w:marBottom w:val="0"/>
              <w:divBdr>
                <w:top w:val="none" w:sz="0" w:space="0" w:color="auto"/>
                <w:left w:val="none" w:sz="0" w:space="0" w:color="auto"/>
                <w:bottom w:val="none" w:sz="0" w:space="0" w:color="auto"/>
                <w:right w:val="none" w:sz="0" w:space="0" w:color="auto"/>
              </w:divBdr>
            </w:div>
            <w:div w:id="1276330005">
              <w:marLeft w:val="0"/>
              <w:marRight w:val="0"/>
              <w:marTop w:val="0"/>
              <w:marBottom w:val="0"/>
              <w:divBdr>
                <w:top w:val="none" w:sz="0" w:space="0" w:color="auto"/>
                <w:left w:val="none" w:sz="0" w:space="0" w:color="auto"/>
                <w:bottom w:val="none" w:sz="0" w:space="0" w:color="auto"/>
                <w:right w:val="none" w:sz="0" w:space="0" w:color="auto"/>
              </w:divBdr>
            </w:div>
          </w:divsChild>
        </w:div>
        <w:div w:id="650141394">
          <w:marLeft w:val="0"/>
          <w:marRight w:val="0"/>
          <w:marTop w:val="0"/>
          <w:marBottom w:val="0"/>
          <w:divBdr>
            <w:top w:val="none" w:sz="0" w:space="0" w:color="auto"/>
            <w:left w:val="none" w:sz="0" w:space="0" w:color="auto"/>
            <w:bottom w:val="none" w:sz="0" w:space="0" w:color="auto"/>
            <w:right w:val="none" w:sz="0" w:space="0" w:color="auto"/>
          </w:divBdr>
        </w:div>
        <w:div w:id="1181896178">
          <w:marLeft w:val="0"/>
          <w:marRight w:val="0"/>
          <w:marTop w:val="0"/>
          <w:marBottom w:val="0"/>
          <w:divBdr>
            <w:top w:val="none" w:sz="0" w:space="0" w:color="auto"/>
            <w:left w:val="none" w:sz="0" w:space="0" w:color="auto"/>
            <w:bottom w:val="none" w:sz="0" w:space="0" w:color="auto"/>
            <w:right w:val="none" w:sz="0" w:space="0" w:color="auto"/>
          </w:divBdr>
        </w:div>
      </w:divsChild>
    </w:div>
    <w:div w:id="1325890846">
      <w:bodyDiv w:val="1"/>
      <w:marLeft w:val="0"/>
      <w:marRight w:val="0"/>
      <w:marTop w:val="0"/>
      <w:marBottom w:val="0"/>
      <w:divBdr>
        <w:top w:val="none" w:sz="0" w:space="0" w:color="auto"/>
        <w:left w:val="none" w:sz="0" w:space="0" w:color="auto"/>
        <w:bottom w:val="none" w:sz="0" w:space="0" w:color="auto"/>
        <w:right w:val="none" w:sz="0" w:space="0" w:color="auto"/>
      </w:divBdr>
    </w:div>
    <w:div w:id="1332637241">
      <w:bodyDiv w:val="1"/>
      <w:marLeft w:val="0"/>
      <w:marRight w:val="0"/>
      <w:marTop w:val="0"/>
      <w:marBottom w:val="0"/>
      <w:divBdr>
        <w:top w:val="none" w:sz="0" w:space="0" w:color="auto"/>
        <w:left w:val="none" w:sz="0" w:space="0" w:color="auto"/>
        <w:bottom w:val="none" w:sz="0" w:space="0" w:color="auto"/>
        <w:right w:val="none" w:sz="0" w:space="0" w:color="auto"/>
      </w:divBdr>
      <w:divsChild>
        <w:div w:id="80298713">
          <w:marLeft w:val="0"/>
          <w:marRight w:val="0"/>
          <w:marTop w:val="0"/>
          <w:marBottom w:val="0"/>
          <w:divBdr>
            <w:top w:val="none" w:sz="0" w:space="0" w:color="auto"/>
            <w:left w:val="none" w:sz="0" w:space="0" w:color="auto"/>
            <w:bottom w:val="none" w:sz="0" w:space="0" w:color="auto"/>
            <w:right w:val="none" w:sz="0" w:space="0" w:color="auto"/>
          </w:divBdr>
          <w:divsChild>
            <w:div w:id="973291704">
              <w:marLeft w:val="0"/>
              <w:marRight w:val="0"/>
              <w:marTop w:val="0"/>
              <w:marBottom w:val="0"/>
              <w:divBdr>
                <w:top w:val="none" w:sz="0" w:space="0" w:color="auto"/>
                <w:left w:val="none" w:sz="0" w:space="0" w:color="auto"/>
                <w:bottom w:val="none" w:sz="0" w:space="0" w:color="auto"/>
                <w:right w:val="none" w:sz="0" w:space="0" w:color="auto"/>
              </w:divBdr>
            </w:div>
            <w:div w:id="1971546012">
              <w:marLeft w:val="0"/>
              <w:marRight w:val="0"/>
              <w:marTop w:val="0"/>
              <w:marBottom w:val="0"/>
              <w:divBdr>
                <w:top w:val="none" w:sz="0" w:space="0" w:color="auto"/>
                <w:left w:val="none" w:sz="0" w:space="0" w:color="auto"/>
                <w:bottom w:val="none" w:sz="0" w:space="0" w:color="auto"/>
                <w:right w:val="none" w:sz="0" w:space="0" w:color="auto"/>
              </w:divBdr>
            </w:div>
          </w:divsChild>
        </w:div>
        <w:div w:id="381558264">
          <w:marLeft w:val="0"/>
          <w:marRight w:val="0"/>
          <w:marTop w:val="0"/>
          <w:marBottom w:val="0"/>
          <w:divBdr>
            <w:top w:val="none" w:sz="0" w:space="0" w:color="auto"/>
            <w:left w:val="none" w:sz="0" w:space="0" w:color="auto"/>
            <w:bottom w:val="none" w:sz="0" w:space="0" w:color="auto"/>
            <w:right w:val="none" w:sz="0" w:space="0" w:color="auto"/>
          </w:divBdr>
        </w:div>
        <w:div w:id="1329015323">
          <w:marLeft w:val="0"/>
          <w:marRight w:val="0"/>
          <w:marTop w:val="0"/>
          <w:marBottom w:val="0"/>
          <w:divBdr>
            <w:top w:val="none" w:sz="0" w:space="0" w:color="auto"/>
            <w:left w:val="none" w:sz="0" w:space="0" w:color="auto"/>
            <w:bottom w:val="none" w:sz="0" w:space="0" w:color="auto"/>
            <w:right w:val="none" w:sz="0" w:space="0" w:color="auto"/>
          </w:divBdr>
        </w:div>
      </w:divsChild>
    </w:div>
    <w:div w:id="1387071019">
      <w:bodyDiv w:val="1"/>
      <w:marLeft w:val="0"/>
      <w:marRight w:val="0"/>
      <w:marTop w:val="0"/>
      <w:marBottom w:val="0"/>
      <w:divBdr>
        <w:top w:val="none" w:sz="0" w:space="0" w:color="auto"/>
        <w:left w:val="none" w:sz="0" w:space="0" w:color="auto"/>
        <w:bottom w:val="none" w:sz="0" w:space="0" w:color="auto"/>
        <w:right w:val="none" w:sz="0" w:space="0" w:color="auto"/>
      </w:divBdr>
    </w:div>
    <w:div w:id="1495730368">
      <w:bodyDiv w:val="1"/>
      <w:marLeft w:val="0"/>
      <w:marRight w:val="0"/>
      <w:marTop w:val="0"/>
      <w:marBottom w:val="0"/>
      <w:divBdr>
        <w:top w:val="none" w:sz="0" w:space="0" w:color="auto"/>
        <w:left w:val="none" w:sz="0" w:space="0" w:color="auto"/>
        <w:bottom w:val="none" w:sz="0" w:space="0" w:color="auto"/>
        <w:right w:val="none" w:sz="0" w:space="0" w:color="auto"/>
      </w:divBdr>
    </w:div>
    <w:div w:id="1496678032">
      <w:bodyDiv w:val="1"/>
      <w:marLeft w:val="0"/>
      <w:marRight w:val="0"/>
      <w:marTop w:val="0"/>
      <w:marBottom w:val="0"/>
      <w:divBdr>
        <w:top w:val="none" w:sz="0" w:space="0" w:color="auto"/>
        <w:left w:val="none" w:sz="0" w:space="0" w:color="auto"/>
        <w:bottom w:val="none" w:sz="0" w:space="0" w:color="auto"/>
        <w:right w:val="none" w:sz="0" w:space="0" w:color="auto"/>
      </w:divBdr>
    </w:div>
    <w:div w:id="1499612686">
      <w:bodyDiv w:val="1"/>
      <w:marLeft w:val="0"/>
      <w:marRight w:val="0"/>
      <w:marTop w:val="0"/>
      <w:marBottom w:val="0"/>
      <w:divBdr>
        <w:top w:val="none" w:sz="0" w:space="0" w:color="auto"/>
        <w:left w:val="none" w:sz="0" w:space="0" w:color="auto"/>
        <w:bottom w:val="none" w:sz="0" w:space="0" w:color="auto"/>
        <w:right w:val="none" w:sz="0" w:space="0" w:color="auto"/>
      </w:divBdr>
    </w:div>
    <w:div w:id="1521042975">
      <w:bodyDiv w:val="1"/>
      <w:marLeft w:val="0"/>
      <w:marRight w:val="0"/>
      <w:marTop w:val="0"/>
      <w:marBottom w:val="0"/>
      <w:divBdr>
        <w:top w:val="none" w:sz="0" w:space="0" w:color="auto"/>
        <w:left w:val="none" w:sz="0" w:space="0" w:color="auto"/>
        <w:bottom w:val="none" w:sz="0" w:space="0" w:color="auto"/>
        <w:right w:val="none" w:sz="0" w:space="0" w:color="auto"/>
      </w:divBdr>
    </w:div>
    <w:div w:id="1526140166">
      <w:bodyDiv w:val="1"/>
      <w:marLeft w:val="0"/>
      <w:marRight w:val="0"/>
      <w:marTop w:val="0"/>
      <w:marBottom w:val="0"/>
      <w:divBdr>
        <w:top w:val="none" w:sz="0" w:space="0" w:color="auto"/>
        <w:left w:val="none" w:sz="0" w:space="0" w:color="auto"/>
        <w:bottom w:val="none" w:sz="0" w:space="0" w:color="auto"/>
        <w:right w:val="none" w:sz="0" w:space="0" w:color="auto"/>
      </w:divBdr>
    </w:div>
    <w:div w:id="1532035989">
      <w:bodyDiv w:val="1"/>
      <w:marLeft w:val="0"/>
      <w:marRight w:val="0"/>
      <w:marTop w:val="0"/>
      <w:marBottom w:val="0"/>
      <w:divBdr>
        <w:top w:val="none" w:sz="0" w:space="0" w:color="auto"/>
        <w:left w:val="none" w:sz="0" w:space="0" w:color="auto"/>
        <w:bottom w:val="none" w:sz="0" w:space="0" w:color="auto"/>
        <w:right w:val="none" w:sz="0" w:space="0" w:color="auto"/>
      </w:divBdr>
    </w:div>
    <w:div w:id="1560092815">
      <w:bodyDiv w:val="1"/>
      <w:marLeft w:val="0"/>
      <w:marRight w:val="0"/>
      <w:marTop w:val="0"/>
      <w:marBottom w:val="0"/>
      <w:divBdr>
        <w:top w:val="none" w:sz="0" w:space="0" w:color="auto"/>
        <w:left w:val="none" w:sz="0" w:space="0" w:color="auto"/>
        <w:bottom w:val="none" w:sz="0" w:space="0" w:color="auto"/>
        <w:right w:val="none" w:sz="0" w:space="0" w:color="auto"/>
      </w:divBdr>
    </w:div>
    <w:div w:id="1570074563">
      <w:bodyDiv w:val="1"/>
      <w:marLeft w:val="0"/>
      <w:marRight w:val="0"/>
      <w:marTop w:val="0"/>
      <w:marBottom w:val="0"/>
      <w:divBdr>
        <w:top w:val="none" w:sz="0" w:space="0" w:color="auto"/>
        <w:left w:val="none" w:sz="0" w:space="0" w:color="auto"/>
        <w:bottom w:val="none" w:sz="0" w:space="0" w:color="auto"/>
        <w:right w:val="none" w:sz="0" w:space="0" w:color="auto"/>
      </w:divBdr>
    </w:div>
    <w:div w:id="1587760200">
      <w:bodyDiv w:val="1"/>
      <w:marLeft w:val="0"/>
      <w:marRight w:val="0"/>
      <w:marTop w:val="0"/>
      <w:marBottom w:val="0"/>
      <w:divBdr>
        <w:top w:val="none" w:sz="0" w:space="0" w:color="auto"/>
        <w:left w:val="none" w:sz="0" w:space="0" w:color="auto"/>
        <w:bottom w:val="none" w:sz="0" w:space="0" w:color="auto"/>
        <w:right w:val="none" w:sz="0" w:space="0" w:color="auto"/>
      </w:divBdr>
      <w:divsChild>
        <w:div w:id="921375124">
          <w:marLeft w:val="0"/>
          <w:marRight w:val="0"/>
          <w:marTop w:val="0"/>
          <w:marBottom w:val="0"/>
          <w:divBdr>
            <w:top w:val="none" w:sz="0" w:space="0" w:color="auto"/>
            <w:left w:val="none" w:sz="0" w:space="0" w:color="auto"/>
            <w:bottom w:val="none" w:sz="0" w:space="0" w:color="auto"/>
            <w:right w:val="none" w:sz="0" w:space="0" w:color="auto"/>
          </w:divBdr>
          <w:divsChild>
            <w:div w:id="216285029">
              <w:marLeft w:val="0"/>
              <w:marRight w:val="1740"/>
              <w:marTop w:val="0"/>
              <w:marBottom w:val="0"/>
              <w:divBdr>
                <w:top w:val="none" w:sz="0" w:space="0" w:color="auto"/>
                <w:left w:val="none" w:sz="0" w:space="0" w:color="auto"/>
                <w:bottom w:val="none" w:sz="0" w:space="0" w:color="auto"/>
                <w:right w:val="none" w:sz="0" w:space="0" w:color="auto"/>
              </w:divBdr>
            </w:div>
            <w:div w:id="810638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758905">
      <w:bodyDiv w:val="1"/>
      <w:marLeft w:val="0"/>
      <w:marRight w:val="0"/>
      <w:marTop w:val="0"/>
      <w:marBottom w:val="0"/>
      <w:divBdr>
        <w:top w:val="none" w:sz="0" w:space="0" w:color="auto"/>
        <w:left w:val="none" w:sz="0" w:space="0" w:color="auto"/>
        <w:bottom w:val="none" w:sz="0" w:space="0" w:color="auto"/>
        <w:right w:val="none" w:sz="0" w:space="0" w:color="auto"/>
      </w:divBdr>
      <w:divsChild>
        <w:div w:id="2050521136">
          <w:marLeft w:val="0"/>
          <w:marRight w:val="0"/>
          <w:marTop w:val="0"/>
          <w:marBottom w:val="0"/>
          <w:divBdr>
            <w:top w:val="none" w:sz="0" w:space="0" w:color="auto"/>
            <w:left w:val="none" w:sz="0" w:space="0" w:color="auto"/>
            <w:bottom w:val="none" w:sz="0" w:space="0" w:color="auto"/>
            <w:right w:val="none" w:sz="0" w:space="0" w:color="auto"/>
          </w:divBdr>
          <w:divsChild>
            <w:div w:id="6112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158453">
      <w:bodyDiv w:val="1"/>
      <w:marLeft w:val="0"/>
      <w:marRight w:val="0"/>
      <w:marTop w:val="0"/>
      <w:marBottom w:val="0"/>
      <w:divBdr>
        <w:top w:val="none" w:sz="0" w:space="0" w:color="auto"/>
        <w:left w:val="none" w:sz="0" w:space="0" w:color="auto"/>
        <w:bottom w:val="none" w:sz="0" w:space="0" w:color="auto"/>
        <w:right w:val="none" w:sz="0" w:space="0" w:color="auto"/>
      </w:divBdr>
    </w:div>
    <w:div w:id="1700860049">
      <w:bodyDiv w:val="1"/>
      <w:marLeft w:val="0"/>
      <w:marRight w:val="0"/>
      <w:marTop w:val="0"/>
      <w:marBottom w:val="0"/>
      <w:divBdr>
        <w:top w:val="none" w:sz="0" w:space="0" w:color="auto"/>
        <w:left w:val="none" w:sz="0" w:space="0" w:color="auto"/>
        <w:bottom w:val="none" w:sz="0" w:space="0" w:color="auto"/>
        <w:right w:val="none" w:sz="0" w:space="0" w:color="auto"/>
      </w:divBdr>
    </w:div>
    <w:div w:id="1702701964">
      <w:bodyDiv w:val="1"/>
      <w:marLeft w:val="0"/>
      <w:marRight w:val="0"/>
      <w:marTop w:val="0"/>
      <w:marBottom w:val="0"/>
      <w:divBdr>
        <w:top w:val="none" w:sz="0" w:space="0" w:color="auto"/>
        <w:left w:val="none" w:sz="0" w:space="0" w:color="auto"/>
        <w:bottom w:val="none" w:sz="0" w:space="0" w:color="auto"/>
        <w:right w:val="none" w:sz="0" w:space="0" w:color="auto"/>
      </w:divBdr>
    </w:div>
    <w:div w:id="1703826869">
      <w:bodyDiv w:val="1"/>
      <w:marLeft w:val="0"/>
      <w:marRight w:val="0"/>
      <w:marTop w:val="0"/>
      <w:marBottom w:val="0"/>
      <w:divBdr>
        <w:top w:val="none" w:sz="0" w:space="0" w:color="auto"/>
        <w:left w:val="none" w:sz="0" w:space="0" w:color="auto"/>
        <w:bottom w:val="none" w:sz="0" w:space="0" w:color="auto"/>
        <w:right w:val="none" w:sz="0" w:space="0" w:color="auto"/>
      </w:divBdr>
    </w:div>
    <w:div w:id="1711690000">
      <w:bodyDiv w:val="1"/>
      <w:marLeft w:val="0"/>
      <w:marRight w:val="0"/>
      <w:marTop w:val="0"/>
      <w:marBottom w:val="0"/>
      <w:divBdr>
        <w:top w:val="none" w:sz="0" w:space="0" w:color="auto"/>
        <w:left w:val="none" w:sz="0" w:space="0" w:color="auto"/>
        <w:bottom w:val="none" w:sz="0" w:space="0" w:color="auto"/>
        <w:right w:val="none" w:sz="0" w:space="0" w:color="auto"/>
      </w:divBdr>
    </w:div>
    <w:div w:id="1715234186">
      <w:bodyDiv w:val="1"/>
      <w:marLeft w:val="0"/>
      <w:marRight w:val="0"/>
      <w:marTop w:val="0"/>
      <w:marBottom w:val="0"/>
      <w:divBdr>
        <w:top w:val="none" w:sz="0" w:space="0" w:color="auto"/>
        <w:left w:val="none" w:sz="0" w:space="0" w:color="auto"/>
        <w:bottom w:val="none" w:sz="0" w:space="0" w:color="auto"/>
        <w:right w:val="none" w:sz="0" w:space="0" w:color="auto"/>
      </w:divBdr>
    </w:div>
    <w:div w:id="1742407968">
      <w:bodyDiv w:val="1"/>
      <w:marLeft w:val="0"/>
      <w:marRight w:val="0"/>
      <w:marTop w:val="0"/>
      <w:marBottom w:val="0"/>
      <w:divBdr>
        <w:top w:val="none" w:sz="0" w:space="0" w:color="auto"/>
        <w:left w:val="none" w:sz="0" w:space="0" w:color="auto"/>
        <w:bottom w:val="none" w:sz="0" w:space="0" w:color="auto"/>
        <w:right w:val="none" w:sz="0" w:space="0" w:color="auto"/>
      </w:divBdr>
    </w:div>
    <w:div w:id="1746565693">
      <w:bodyDiv w:val="1"/>
      <w:marLeft w:val="0"/>
      <w:marRight w:val="0"/>
      <w:marTop w:val="0"/>
      <w:marBottom w:val="0"/>
      <w:divBdr>
        <w:top w:val="none" w:sz="0" w:space="0" w:color="auto"/>
        <w:left w:val="none" w:sz="0" w:space="0" w:color="auto"/>
        <w:bottom w:val="none" w:sz="0" w:space="0" w:color="auto"/>
        <w:right w:val="none" w:sz="0" w:space="0" w:color="auto"/>
      </w:divBdr>
    </w:div>
    <w:div w:id="1746680105">
      <w:bodyDiv w:val="1"/>
      <w:marLeft w:val="0"/>
      <w:marRight w:val="0"/>
      <w:marTop w:val="0"/>
      <w:marBottom w:val="0"/>
      <w:divBdr>
        <w:top w:val="none" w:sz="0" w:space="0" w:color="auto"/>
        <w:left w:val="none" w:sz="0" w:space="0" w:color="auto"/>
        <w:bottom w:val="none" w:sz="0" w:space="0" w:color="auto"/>
        <w:right w:val="none" w:sz="0" w:space="0" w:color="auto"/>
      </w:divBdr>
    </w:div>
    <w:div w:id="1763993204">
      <w:bodyDiv w:val="1"/>
      <w:marLeft w:val="0"/>
      <w:marRight w:val="0"/>
      <w:marTop w:val="0"/>
      <w:marBottom w:val="0"/>
      <w:divBdr>
        <w:top w:val="none" w:sz="0" w:space="0" w:color="auto"/>
        <w:left w:val="none" w:sz="0" w:space="0" w:color="auto"/>
        <w:bottom w:val="none" w:sz="0" w:space="0" w:color="auto"/>
        <w:right w:val="none" w:sz="0" w:space="0" w:color="auto"/>
      </w:divBdr>
    </w:div>
    <w:div w:id="1764254272">
      <w:bodyDiv w:val="1"/>
      <w:marLeft w:val="0"/>
      <w:marRight w:val="0"/>
      <w:marTop w:val="0"/>
      <w:marBottom w:val="0"/>
      <w:divBdr>
        <w:top w:val="none" w:sz="0" w:space="0" w:color="auto"/>
        <w:left w:val="none" w:sz="0" w:space="0" w:color="auto"/>
        <w:bottom w:val="none" w:sz="0" w:space="0" w:color="auto"/>
        <w:right w:val="none" w:sz="0" w:space="0" w:color="auto"/>
      </w:divBdr>
    </w:div>
    <w:div w:id="1775788808">
      <w:bodyDiv w:val="1"/>
      <w:marLeft w:val="0"/>
      <w:marRight w:val="0"/>
      <w:marTop w:val="0"/>
      <w:marBottom w:val="0"/>
      <w:divBdr>
        <w:top w:val="none" w:sz="0" w:space="0" w:color="auto"/>
        <w:left w:val="none" w:sz="0" w:space="0" w:color="auto"/>
        <w:bottom w:val="none" w:sz="0" w:space="0" w:color="auto"/>
        <w:right w:val="none" w:sz="0" w:space="0" w:color="auto"/>
      </w:divBdr>
      <w:divsChild>
        <w:div w:id="2076387353">
          <w:marLeft w:val="0"/>
          <w:marRight w:val="0"/>
          <w:marTop w:val="0"/>
          <w:marBottom w:val="0"/>
          <w:divBdr>
            <w:top w:val="none" w:sz="0" w:space="0" w:color="auto"/>
            <w:left w:val="none" w:sz="0" w:space="0" w:color="auto"/>
            <w:bottom w:val="none" w:sz="0" w:space="0" w:color="auto"/>
            <w:right w:val="none" w:sz="0" w:space="0" w:color="auto"/>
          </w:divBdr>
          <w:divsChild>
            <w:div w:id="2065373189">
              <w:marLeft w:val="0"/>
              <w:marRight w:val="0"/>
              <w:marTop w:val="0"/>
              <w:marBottom w:val="0"/>
              <w:divBdr>
                <w:top w:val="none" w:sz="0" w:space="0" w:color="auto"/>
                <w:left w:val="none" w:sz="0" w:space="0" w:color="auto"/>
                <w:bottom w:val="none" w:sz="0" w:space="0" w:color="auto"/>
                <w:right w:val="none" w:sz="0" w:space="0" w:color="auto"/>
              </w:divBdr>
              <w:divsChild>
                <w:div w:id="1448963963">
                  <w:marLeft w:val="0"/>
                  <w:marRight w:val="0"/>
                  <w:marTop w:val="0"/>
                  <w:marBottom w:val="0"/>
                  <w:divBdr>
                    <w:top w:val="none" w:sz="0" w:space="0" w:color="auto"/>
                    <w:left w:val="none" w:sz="0" w:space="0" w:color="auto"/>
                    <w:bottom w:val="none" w:sz="0" w:space="0" w:color="auto"/>
                    <w:right w:val="none" w:sz="0" w:space="0" w:color="auto"/>
                  </w:divBdr>
                  <w:divsChild>
                    <w:div w:id="1219054393">
                      <w:marLeft w:val="0"/>
                      <w:marRight w:val="0"/>
                      <w:marTop w:val="0"/>
                      <w:marBottom w:val="0"/>
                      <w:divBdr>
                        <w:top w:val="none" w:sz="0" w:space="0" w:color="auto"/>
                        <w:left w:val="none" w:sz="0" w:space="0" w:color="auto"/>
                        <w:bottom w:val="none" w:sz="0" w:space="0" w:color="auto"/>
                        <w:right w:val="none" w:sz="0" w:space="0" w:color="auto"/>
                      </w:divBdr>
                      <w:divsChild>
                        <w:div w:id="993224348">
                          <w:marLeft w:val="0"/>
                          <w:marRight w:val="0"/>
                          <w:marTop w:val="0"/>
                          <w:marBottom w:val="0"/>
                          <w:divBdr>
                            <w:top w:val="none" w:sz="0" w:space="0" w:color="auto"/>
                            <w:left w:val="none" w:sz="0" w:space="0" w:color="auto"/>
                            <w:bottom w:val="none" w:sz="0" w:space="0" w:color="auto"/>
                            <w:right w:val="none" w:sz="0" w:space="0" w:color="auto"/>
                          </w:divBdr>
                          <w:divsChild>
                            <w:div w:id="1127578179">
                              <w:marLeft w:val="0"/>
                              <w:marRight w:val="0"/>
                              <w:marTop w:val="0"/>
                              <w:marBottom w:val="0"/>
                              <w:divBdr>
                                <w:top w:val="none" w:sz="0" w:space="0" w:color="auto"/>
                                <w:left w:val="none" w:sz="0" w:space="0" w:color="auto"/>
                                <w:bottom w:val="none" w:sz="0" w:space="0" w:color="auto"/>
                                <w:right w:val="none" w:sz="0" w:space="0" w:color="auto"/>
                              </w:divBdr>
                            </w:div>
                            <w:div w:id="31928682">
                              <w:marLeft w:val="0"/>
                              <w:marRight w:val="0"/>
                              <w:marTop w:val="0"/>
                              <w:marBottom w:val="0"/>
                              <w:divBdr>
                                <w:top w:val="none" w:sz="0" w:space="0" w:color="auto"/>
                                <w:left w:val="none" w:sz="0" w:space="0" w:color="auto"/>
                                <w:bottom w:val="none" w:sz="0" w:space="0" w:color="auto"/>
                                <w:right w:val="none" w:sz="0" w:space="0" w:color="auto"/>
                              </w:divBdr>
                            </w:div>
                          </w:divsChild>
                        </w:div>
                        <w:div w:id="433671000">
                          <w:marLeft w:val="0"/>
                          <w:marRight w:val="0"/>
                          <w:marTop w:val="0"/>
                          <w:marBottom w:val="0"/>
                          <w:divBdr>
                            <w:top w:val="none" w:sz="0" w:space="0" w:color="auto"/>
                            <w:left w:val="none" w:sz="0" w:space="0" w:color="auto"/>
                            <w:bottom w:val="none" w:sz="0" w:space="0" w:color="auto"/>
                            <w:right w:val="none" w:sz="0" w:space="0" w:color="auto"/>
                          </w:divBdr>
                        </w:div>
                        <w:div w:id="2926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422480">
      <w:bodyDiv w:val="1"/>
      <w:marLeft w:val="0"/>
      <w:marRight w:val="0"/>
      <w:marTop w:val="0"/>
      <w:marBottom w:val="0"/>
      <w:divBdr>
        <w:top w:val="none" w:sz="0" w:space="0" w:color="auto"/>
        <w:left w:val="none" w:sz="0" w:space="0" w:color="auto"/>
        <w:bottom w:val="none" w:sz="0" w:space="0" w:color="auto"/>
        <w:right w:val="none" w:sz="0" w:space="0" w:color="auto"/>
      </w:divBdr>
    </w:div>
    <w:div w:id="1819222749">
      <w:bodyDiv w:val="1"/>
      <w:marLeft w:val="0"/>
      <w:marRight w:val="0"/>
      <w:marTop w:val="0"/>
      <w:marBottom w:val="0"/>
      <w:divBdr>
        <w:top w:val="none" w:sz="0" w:space="0" w:color="auto"/>
        <w:left w:val="none" w:sz="0" w:space="0" w:color="auto"/>
        <w:bottom w:val="none" w:sz="0" w:space="0" w:color="auto"/>
        <w:right w:val="none" w:sz="0" w:space="0" w:color="auto"/>
      </w:divBdr>
      <w:divsChild>
        <w:div w:id="947127432">
          <w:marLeft w:val="0"/>
          <w:marRight w:val="0"/>
          <w:marTop w:val="0"/>
          <w:marBottom w:val="0"/>
          <w:divBdr>
            <w:top w:val="none" w:sz="0" w:space="0" w:color="auto"/>
            <w:left w:val="none" w:sz="0" w:space="0" w:color="auto"/>
            <w:bottom w:val="none" w:sz="0" w:space="0" w:color="auto"/>
            <w:right w:val="none" w:sz="0" w:space="0" w:color="auto"/>
          </w:divBdr>
          <w:divsChild>
            <w:div w:id="1959409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8368">
      <w:bodyDiv w:val="1"/>
      <w:marLeft w:val="0"/>
      <w:marRight w:val="0"/>
      <w:marTop w:val="0"/>
      <w:marBottom w:val="0"/>
      <w:divBdr>
        <w:top w:val="none" w:sz="0" w:space="0" w:color="auto"/>
        <w:left w:val="none" w:sz="0" w:space="0" w:color="auto"/>
        <w:bottom w:val="none" w:sz="0" w:space="0" w:color="auto"/>
        <w:right w:val="none" w:sz="0" w:space="0" w:color="auto"/>
      </w:divBdr>
    </w:div>
    <w:div w:id="1862011604">
      <w:bodyDiv w:val="1"/>
      <w:marLeft w:val="0"/>
      <w:marRight w:val="0"/>
      <w:marTop w:val="0"/>
      <w:marBottom w:val="0"/>
      <w:divBdr>
        <w:top w:val="none" w:sz="0" w:space="0" w:color="auto"/>
        <w:left w:val="none" w:sz="0" w:space="0" w:color="auto"/>
        <w:bottom w:val="none" w:sz="0" w:space="0" w:color="auto"/>
        <w:right w:val="none" w:sz="0" w:space="0" w:color="auto"/>
      </w:divBdr>
    </w:div>
    <w:div w:id="1873613054">
      <w:bodyDiv w:val="1"/>
      <w:marLeft w:val="0"/>
      <w:marRight w:val="0"/>
      <w:marTop w:val="0"/>
      <w:marBottom w:val="0"/>
      <w:divBdr>
        <w:top w:val="none" w:sz="0" w:space="0" w:color="auto"/>
        <w:left w:val="none" w:sz="0" w:space="0" w:color="auto"/>
        <w:bottom w:val="none" w:sz="0" w:space="0" w:color="auto"/>
        <w:right w:val="none" w:sz="0" w:space="0" w:color="auto"/>
      </w:divBdr>
    </w:div>
    <w:div w:id="1878277312">
      <w:bodyDiv w:val="1"/>
      <w:marLeft w:val="0"/>
      <w:marRight w:val="0"/>
      <w:marTop w:val="0"/>
      <w:marBottom w:val="0"/>
      <w:divBdr>
        <w:top w:val="none" w:sz="0" w:space="0" w:color="auto"/>
        <w:left w:val="none" w:sz="0" w:space="0" w:color="auto"/>
        <w:bottom w:val="none" w:sz="0" w:space="0" w:color="auto"/>
        <w:right w:val="none" w:sz="0" w:space="0" w:color="auto"/>
      </w:divBdr>
    </w:div>
    <w:div w:id="1887179017">
      <w:bodyDiv w:val="1"/>
      <w:marLeft w:val="0"/>
      <w:marRight w:val="0"/>
      <w:marTop w:val="0"/>
      <w:marBottom w:val="0"/>
      <w:divBdr>
        <w:top w:val="none" w:sz="0" w:space="0" w:color="auto"/>
        <w:left w:val="none" w:sz="0" w:space="0" w:color="auto"/>
        <w:bottom w:val="none" w:sz="0" w:space="0" w:color="auto"/>
        <w:right w:val="none" w:sz="0" w:space="0" w:color="auto"/>
      </w:divBdr>
    </w:div>
    <w:div w:id="1892762921">
      <w:bodyDiv w:val="1"/>
      <w:marLeft w:val="0"/>
      <w:marRight w:val="0"/>
      <w:marTop w:val="0"/>
      <w:marBottom w:val="0"/>
      <w:divBdr>
        <w:top w:val="none" w:sz="0" w:space="0" w:color="auto"/>
        <w:left w:val="none" w:sz="0" w:space="0" w:color="auto"/>
        <w:bottom w:val="none" w:sz="0" w:space="0" w:color="auto"/>
        <w:right w:val="none" w:sz="0" w:space="0" w:color="auto"/>
      </w:divBdr>
    </w:div>
    <w:div w:id="1893954467">
      <w:bodyDiv w:val="1"/>
      <w:marLeft w:val="0"/>
      <w:marRight w:val="0"/>
      <w:marTop w:val="0"/>
      <w:marBottom w:val="0"/>
      <w:divBdr>
        <w:top w:val="none" w:sz="0" w:space="0" w:color="auto"/>
        <w:left w:val="none" w:sz="0" w:space="0" w:color="auto"/>
        <w:bottom w:val="none" w:sz="0" w:space="0" w:color="auto"/>
        <w:right w:val="none" w:sz="0" w:space="0" w:color="auto"/>
      </w:divBdr>
    </w:div>
    <w:div w:id="1895310393">
      <w:bodyDiv w:val="1"/>
      <w:marLeft w:val="0"/>
      <w:marRight w:val="0"/>
      <w:marTop w:val="0"/>
      <w:marBottom w:val="0"/>
      <w:divBdr>
        <w:top w:val="none" w:sz="0" w:space="0" w:color="auto"/>
        <w:left w:val="none" w:sz="0" w:space="0" w:color="auto"/>
        <w:bottom w:val="none" w:sz="0" w:space="0" w:color="auto"/>
        <w:right w:val="none" w:sz="0" w:space="0" w:color="auto"/>
      </w:divBdr>
      <w:divsChild>
        <w:div w:id="109789608">
          <w:marLeft w:val="0"/>
          <w:marRight w:val="0"/>
          <w:marTop w:val="0"/>
          <w:marBottom w:val="0"/>
          <w:divBdr>
            <w:top w:val="none" w:sz="0" w:space="0" w:color="auto"/>
            <w:left w:val="none" w:sz="0" w:space="0" w:color="auto"/>
            <w:bottom w:val="none" w:sz="0" w:space="0" w:color="auto"/>
            <w:right w:val="none" w:sz="0" w:space="0" w:color="auto"/>
          </w:divBdr>
          <w:divsChild>
            <w:div w:id="1191146938">
              <w:marLeft w:val="0"/>
              <w:marRight w:val="1740"/>
              <w:marTop w:val="0"/>
              <w:marBottom w:val="0"/>
              <w:divBdr>
                <w:top w:val="none" w:sz="0" w:space="0" w:color="auto"/>
                <w:left w:val="none" w:sz="0" w:space="0" w:color="auto"/>
                <w:bottom w:val="none" w:sz="0" w:space="0" w:color="auto"/>
                <w:right w:val="none" w:sz="0" w:space="0" w:color="auto"/>
              </w:divBdr>
            </w:div>
            <w:div w:id="20128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537016">
      <w:bodyDiv w:val="1"/>
      <w:marLeft w:val="0"/>
      <w:marRight w:val="0"/>
      <w:marTop w:val="0"/>
      <w:marBottom w:val="0"/>
      <w:divBdr>
        <w:top w:val="none" w:sz="0" w:space="0" w:color="auto"/>
        <w:left w:val="none" w:sz="0" w:space="0" w:color="auto"/>
        <w:bottom w:val="none" w:sz="0" w:space="0" w:color="auto"/>
        <w:right w:val="none" w:sz="0" w:space="0" w:color="auto"/>
      </w:divBdr>
    </w:div>
    <w:div w:id="1957369134">
      <w:bodyDiv w:val="1"/>
      <w:marLeft w:val="0"/>
      <w:marRight w:val="0"/>
      <w:marTop w:val="0"/>
      <w:marBottom w:val="0"/>
      <w:divBdr>
        <w:top w:val="none" w:sz="0" w:space="0" w:color="auto"/>
        <w:left w:val="none" w:sz="0" w:space="0" w:color="auto"/>
        <w:bottom w:val="none" w:sz="0" w:space="0" w:color="auto"/>
        <w:right w:val="none" w:sz="0" w:space="0" w:color="auto"/>
      </w:divBdr>
      <w:divsChild>
        <w:div w:id="470289622">
          <w:marLeft w:val="0"/>
          <w:marRight w:val="0"/>
          <w:marTop w:val="0"/>
          <w:marBottom w:val="0"/>
          <w:divBdr>
            <w:top w:val="none" w:sz="0" w:space="0" w:color="auto"/>
            <w:left w:val="none" w:sz="0" w:space="0" w:color="auto"/>
            <w:bottom w:val="none" w:sz="0" w:space="0" w:color="auto"/>
            <w:right w:val="none" w:sz="0" w:space="0" w:color="auto"/>
          </w:divBdr>
          <w:divsChild>
            <w:div w:id="114111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036030">
      <w:bodyDiv w:val="1"/>
      <w:marLeft w:val="0"/>
      <w:marRight w:val="0"/>
      <w:marTop w:val="0"/>
      <w:marBottom w:val="0"/>
      <w:divBdr>
        <w:top w:val="none" w:sz="0" w:space="0" w:color="auto"/>
        <w:left w:val="none" w:sz="0" w:space="0" w:color="auto"/>
        <w:bottom w:val="none" w:sz="0" w:space="0" w:color="auto"/>
        <w:right w:val="none" w:sz="0" w:space="0" w:color="auto"/>
      </w:divBdr>
    </w:div>
    <w:div w:id="1971785545">
      <w:bodyDiv w:val="1"/>
      <w:marLeft w:val="0"/>
      <w:marRight w:val="0"/>
      <w:marTop w:val="0"/>
      <w:marBottom w:val="0"/>
      <w:divBdr>
        <w:top w:val="none" w:sz="0" w:space="0" w:color="auto"/>
        <w:left w:val="none" w:sz="0" w:space="0" w:color="auto"/>
        <w:bottom w:val="none" w:sz="0" w:space="0" w:color="auto"/>
        <w:right w:val="none" w:sz="0" w:space="0" w:color="auto"/>
      </w:divBdr>
    </w:div>
    <w:div w:id="1992442086">
      <w:bodyDiv w:val="1"/>
      <w:marLeft w:val="0"/>
      <w:marRight w:val="0"/>
      <w:marTop w:val="0"/>
      <w:marBottom w:val="0"/>
      <w:divBdr>
        <w:top w:val="none" w:sz="0" w:space="0" w:color="auto"/>
        <w:left w:val="none" w:sz="0" w:space="0" w:color="auto"/>
        <w:bottom w:val="none" w:sz="0" w:space="0" w:color="auto"/>
        <w:right w:val="none" w:sz="0" w:space="0" w:color="auto"/>
      </w:divBdr>
    </w:div>
    <w:div w:id="2023312999">
      <w:bodyDiv w:val="1"/>
      <w:marLeft w:val="0"/>
      <w:marRight w:val="0"/>
      <w:marTop w:val="0"/>
      <w:marBottom w:val="0"/>
      <w:divBdr>
        <w:top w:val="none" w:sz="0" w:space="0" w:color="auto"/>
        <w:left w:val="none" w:sz="0" w:space="0" w:color="auto"/>
        <w:bottom w:val="none" w:sz="0" w:space="0" w:color="auto"/>
        <w:right w:val="none" w:sz="0" w:space="0" w:color="auto"/>
      </w:divBdr>
      <w:divsChild>
        <w:div w:id="533813270">
          <w:marLeft w:val="0"/>
          <w:marRight w:val="0"/>
          <w:marTop w:val="0"/>
          <w:marBottom w:val="0"/>
          <w:divBdr>
            <w:top w:val="none" w:sz="0" w:space="0" w:color="auto"/>
            <w:left w:val="none" w:sz="0" w:space="0" w:color="auto"/>
            <w:bottom w:val="none" w:sz="0" w:space="0" w:color="auto"/>
            <w:right w:val="none" w:sz="0" w:space="0" w:color="auto"/>
          </w:divBdr>
          <w:divsChild>
            <w:div w:id="755514209">
              <w:marLeft w:val="0"/>
              <w:marRight w:val="0"/>
              <w:marTop w:val="0"/>
              <w:marBottom w:val="0"/>
              <w:divBdr>
                <w:top w:val="none" w:sz="0" w:space="0" w:color="auto"/>
                <w:left w:val="none" w:sz="0" w:space="0" w:color="auto"/>
                <w:bottom w:val="none" w:sz="0" w:space="0" w:color="auto"/>
                <w:right w:val="none" w:sz="0" w:space="0" w:color="auto"/>
              </w:divBdr>
              <w:divsChild>
                <w:div w:id="1542404418">
                  <w:marLeft w:val="0"/>
                  <w:marRight w:val="0"/>
                  <w:marTop w:val="0"/>
                  <w:marBottom w:val="0"/>
                  <w:divBdr>
                    <w:top w:val="none" w:sz="0" w:space="0" w:color="auto"/>
                    <w:left w:val="none" w:sz="0" w:space="0" w:color="auto"/>
                    <w:bottom w:val="none" w:sz="0" w:space="0" w:color="auto"/>
                    <w:right w:val="none" w:sz="0" w:space="0" w:color="auto"/>
                  </w:divBdr>
                  <w:divsChild>
                    <w:div w:id="1329018019">
                      <w:marLeft w:val="0"/>
                      <w:marRight w:val="0"/>
                      <w:marTop w:val="0"/>
                      <w:marBottom w:val="0"/>
                      <w:divBdr>
                        <w:top w:val="none" w:sz="0" w:space="0" w:color="auto"/>
                        <w:left w:val="none" w:sz="0" w:space="0" w:color="auto"/>
                        <w:bottom w:val="none" w:sz="0" w:space="0" w:color="auto"/>
                        <w:right w:val="none" w:sz="0" w:space="0" w:color="auto"/>
                      </w:divBdr>
                      <w:divsChild>
                        <w:div w:id="238827184">
                          <w:marLeft w:val="0"/>
                          <w:marRight w:val="0"/>
                          <w:marTop w:val="0"/>
                          <w:marBottom w:val="0"/>
                          <w:divBdr>
                            <w:top w:val="none" w:sz="0" w:space="0" w:color="auto"/>
                            <w:left w:val="none" w:sz="0" w:space="0" w:color="auto"/>
                            <w:bottom w:val="none" w:sz="0" w:space="0" w:color="auto"/>
                            <w:right w:val="none" w:sz="0" w:space="0" w:color="auto"/>
                          </w:divBdr>
                          <w:divsChild>
                            <w:div w:id="1514341281">
                              <w:marLeft w:val="0"/>
                              <w:marRight w:val="0"/>
                              <w:marTop w:val="0"/>
                              <w:marBottom w:val="0"/>
                              <w:divBdr>
                                <w:top w:val="none" w:sz="0" w:space="0" w:color="auto"/>
                                <w:left w:val="none" w:sz="0" w:space="0" w:color="auto"/>
                                <w:bottom w:val="none" w:sz="0" w:space="0" w:color="auto"/>
                                <w:right w:val="none" w:sz="0" w:space="0" w:color="auto"/>
                              </w:divBdr>
                            </w:div>
                            <w:div w:id="1058746235">
                              <w:marLeft w:val="0"/>
                              <w:marRight w:val="0"/>
                              <w:marTop w:val="0"/>
                              <w:marBottom w:val="0"/>
                              <w:divBdr>
                                <w:top w:val="none" w:sz="0" w:space="0" w:color="auto"/>
                                <w:left w:val="none" w:sz="0" w:space="0" w:color="auto"/>
                                <w:bottom w:val="none" w:sz="0" w:space="0" w:color="auto"/>
                                <w:right w:val="none" w:sz="0" w:space="0" w:color="auto"/>
                              </w:divBdr>
                            </w:div>
                          </w:divsChild>
                        </w:div>
                        <w:div w:id="277492454">
                          <w:marLeft w:val="0"/>
                          <w:marRight w:val="0"/>
                          <w:marTop w:val="0"/>
                          <w:marBottom w:val="0"/>
                          <w:divBdr>
                            <w:top w:val="none" w:sz="0" w:space="0" w:color="auto"/>
                            <w:left w:val="none" w:sz="0" w:space="0" w:color="auto"/>
                            <w:bottom w:val="none" w:sz="0" w:space="0" w:color="auto"/>
                            <w:right w:val="none" w:sz="0" w:space="0" w:color="auto"/>
                          </w:divBdr>
                        </w:div>
                        <w:div w:id="111898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21178">
      <w:bodyDiv w:val="1"/>
      <w:marLeft w:val="0"/>
      <w:marRight w:val="0"/>
      <w:marTop w:val="0"/>
      <w:marBottom w:val="0"/>
      <w:divBdr>
        <w:top w:val="none" w:sz="0" w:space="0" w:color="auto"/>
        <w:left w:val="none" w:sz="0" w:space="0" w:color="auto"/>
        <w:bottom w:val="none" w:sz="0" w:space="0" w:color="auto"/>
        <w:right w:val="none" w:sz="0" w:space="0" w:color="auto"/>
      </w:divBdr>
    </w:div>
    <w:div w:id="2066248941">
      <w:bodyDiv w:val="1"/>
      <w:marLeft w:val="0"/>
      <w:marRight w:val="0"/>
      <w:marTop w:val="0"/>
      <w:marBottom w:val="0"/>
      <w:divBdr>
        <w:top w:val="none" w:sz="0" w:space="0" w:color="auto"/>
        <w:left w:val="none" w:sz="0" w:space="0" w:color="auto"/>
        <w:bottom w:val="none" w:sz="0" w:space="0" w:color="auto"/>
        <w:right w:val="none" w:sz="0" w:space="0" w:color="auto"/>
      </w:divBdr>
    </w:div>
    <w:div w:id="2071879251">
      <w:bodyDiv w:val="1"/>
      <w:marLeft w:val="0"/>
      <w:marRight w:val="0"/>
      <w:marTop w:val="0"/>
      <w:marBottom w:val="0"/>
      <w:divBdr>
        <w:top w:val="none" w:sz="0" w:space="0" w:color="auto"/>
        <w:left w:val="none" w:sz="0" w:space="0" w:color="auto"/>
        <w:bottom w:val="none" w:sz="0" w:space="0" w:color="auto"/>
        <w:right w:val="none" w:sz="0" w:space="0" w:color="auto"/>
      </w:divBdr>
    </w:div>
    <w:div w:id="2088795056">
      <w:bodyDiv w:val="1"/>
      <w:marLeft w:val="0"/>
      <w:marRight w:val="0"/>
      <w:marTop w:val="0"/>
      <w:marBottom w:val="0"/>
      <w:divBdr>
        <w:top w:val="none" w:sz="0" w:space="0" w:color="auto"/>
        <w:left w:val="none" w:sz="0" w:space="0" w:color="auto"/>
        <w:bottom w:val="none" w:sz="0" w:space="0" w:color="auto"/>
        <w:right w:val="none" w:sz="0" w:space="0" w:color="auto"/>
      </w:divBdr>
    </w:div>
    <w:div w:id="2091584163">
      <w:bodyDiv w:val="1"/>
      <w:marLeft w:val="0"/>
      <w:marRight w:val="0"/>
      <w:marTop w:val="0"/>
      <w:marBottom w:val="0"/>
      <w:divBdr>
        <w:top w:val="none" w:sz="0" w:space="0" w:color="auto"/>
        <w:left w:val="none" w:sz="0" w:space="0" w:color="auto"/>
        <w:bottom w:val="none" w:sz="0" w:space="0" w:color="auto"/>
        <w:right w:val="none" w:sz="0" w:space="0" w:color="auto"/>
      </w:divBdr>
      <w:divsChild>
        <w:div w:id="847787929">
          <w:marLeft w:val="0"/>
          <w:marRight w:val="0"/>
          <w:marTop w:val="0"/>
          <w:marBottom w:val="0"/>
          <w:divBdr>
            <w:top w:val="none" w:sz="0" w:space="0" w:color="auto"/>
            <w:left w:val="none" w:sz="0" w:space="0" w:color="auto"/>
            <w:bottom w:val="none" w:sz="0" w:space="0" w:color="auto"/>
            <w:right w:val="none" w:sz="0" w:space="0" w:color="auto"/>
          </w:divBdr>
          <w:divsChild>
            <w:div w:id="160000926">
              <w:marLeft w:val="0"/>
              <w:marRight w:val="0"/>
              <w:marTop w:val="0"/>
              <w:marBottom w:val="0"/>
              <w:divBdr>
                <w:top w:val="none" w:sz="0" w:space="0" w:color="auto"/>
                <w:left w:val="none" w:sz="0" w:space="0" w:color="auto"/>
                <w:bottom w:val="none" w:sz="0" w:space="0" w:color="auto"/>
                <w:right w:val="none" w:sz="0" w:space="0" w:color="auto"/>
              </w:divBdr>
              <w:divsChild>
                <w:div w:id="306788950">
                  <w:marLeft w:val="0"/>
                  <w:marRight w:val="0"/>
                  <w:marTop w:val="0"/>
                  <w:marBottom w:val="0"/>
                  <w:divBdr>
                    <w:top w:val="none" w:sz="0" w:space="0" w:color="auto"/>
                    <w:left w:val="none" w:sz="0" w:space="0" w:color="auto"/>
                    <w:bottom w:val="none" w:sz="0" w:space="0" w:color="auto"/>
                    <w:right w:val="none" w:sz="0" w:space="0" w:color="auto"/>
                  </w:divBdr>
                  <w:divsChild>
                    <w:div w:id="1713921598">
                      <w:marLeft w:val="0"/>
                      <w:marRight w:val="0"/>
                      <w:marTop w:val="0"/>
                      <w:marBottom w:val="0"/>
                      <w:divBdr>
                        <w:top w:val="none" w:sz="0" w:space="0" w:color="auto"/>
                        <w:left w:val="none" w:sz="0" w:space="0" w:color="auto"/>
                        <w:bottom w:val="none" w:sz="0" w:space="0" w:color="auto"/>
                        <w:right w:val="none" w:sz="0" w:space="0" w:color="auto"/>
                      </w:divBdr>
                      <w:divsChild>
                        <w:div w:id="313678845">
                          <w:marLeft w:val="0"/>
                          <w:marRight w:val="0"/>
                          <w:marTop w:val="0"/>
                          <w:marBottom w:val="0"/>
                          <w:divBdr>
                            <w:top w:val="none" w:sz="0" w:space="0" w:color="auto"/>
                            <w:left w:val="none" w:sz="0" w:space="0" w:color="auto"/>
                            <w:bottom w:val="none" w:sz="0" w:space="0" w:color="auto"/>
                            <w:right w:val="none" w:sz="0" w:space="0" w:color="auto"/>
                          </w:divBdr>
                          <w:divsChild>
                            <w:div w:id="368117232">
                              <w:marLeft w:val="0"/>
                              <w:marRight w:val="0"/>
                              <w:marTop w:val="0"/>
                              <w:marBottom w:val="0"/>
                              <w:divBdr>
                                <w:top w:val="none" w:sz="0" w:space="0" w:color="auto"/>
                                <w:left w:val="none" w:sz="0" w:space="0" w:color="auto"/>
                                <w:bottom w:val="none" w:sz="0" w:space="0" w:color="auto"/>
                                <w:right w:val="none" w:sz="0" w:space="0" w:color="auto"/>
                              </w:divBdr>
                            </w:div>
                            <w:div w:id="1286160979">
                              <w:marLeft w:val="0"/>
                              <w:marRight w:val="0"/>
                              <w:marTop w:val="0"/>
                              <w:marBottom w:val="0"/>
                              <w:divBdr>
                                <w:top w:val="none" w:sz="0" w:space="0" w:color="auto"/>
                                <w:left w:val="none" w:sz="0" w:space="0" w:color="auto"/>
                                <w:bottom w:val="none" w:sz="0" w:space="0" w:color="auto"/>
                                <w:right w:val="none" w:sz="0" w:space="0" w:color="auto"/>
                              </w:divBdr>
                            </w:div>
                          </w:divsChild>
                        </w:div>
                        <w:div w:id="536166016">
                          <w:marLeft w:val="0"/>
                          <w:marRight w:val="0"/>
                          <w:marTop w:val="0"/>
                          <w:marBottom w:val="0"/>
                          <w:divBdr>
                            <w:top w:val="none" w:sz="0" w:space="0" w:color="auto"/>
                            <w:left w:val="none" w:sz="0" w:space="0" w:color="auto"/>
                            <w:bottom w:val="none" w:sz="0" w:space="0" w:color="auto"/>
                            <w:right w:val="none" w:sz="0" w:space="0" w:color="auto"/>
                          </w:divBdr>
                        </w:div>
                        <w:div w:id="115221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3355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government.ru/docs/45195/" TargetMode="External"/><Relationship Id="rId18" Type="http://schemas.openxmlformats.org/officeDocument/2006/relationships/hyperlink" Target="http://www.cbr.ru/about_br/dir/rsd_2022-11-21_31-4-1/" TargetMode="External"/><Relationship Id="rId26" Type="http://schemas.openxmlformats.org/officeDocument/2006/relationships/hyperlink" Target="http://www.cbr.ru/faq/w_fin_sector/" TargetMode="External"/><Relationship Id="rId3" Type="http://schemas.openxmlformats.org/officeDocument/2006/relationships/customXml" Target="../customXml/item3.xml"/><Relationship Id="rId21" Type="http://schemas.openxmlformats.org/officeDocument/2006/relationships/hyperlink" Target="http://www.cbr.ru/about_br/dir/rsd_2023-09-15_31_01/" TargetMode="External"/><Relationship Id="rId7" Type="http://schemas.openxmlformats.org/officeDocument/2006/relationships/styles" Target="styles.xml"/><Relationship Id="rId12" Type="http://schemas.openxmlformats.org/officeDocument/2006/relationships/hyperlink" Target="http://government.ru/docs/44747/" TargetMode="External"/><Relationship Id="rId17" Type="http://schemas.openxmlformats.org/officeDocument/2006/relationships/hyperlink" Target="http://www.cbr.ru/support_measures/" TargetMode="External"/><Relationship Id="rId25" Type="http://schemas.openxmlformats.org/officeDocument/2006/relationships/hyperlink" Target="http://www.cbr.ru/explan/support_measures_fin/" TargetMode="External"/><Relationship Id="rId2" Type="http://schemas.openxmlformats.org/officeDocument/2006/relationships/customXml" Target="../customXml/item2.xml"/><Relationship Id="rId16" Type="http://schemas.openxmlformats.org/officeDocument/2006/relationships/hyperlink" Target="https://economy.gov.ru/material/file/977074521c1c8087c123574d6567aa92/perechen_pilotnyh_kodov_okved.pdf" TargetMode="External"/><Relationship Id="rId20" Type="http://schemas.openxmlformats.org/officeDocument/2006/relationships/hyperlink" Target="http://www.cbr.ru/about_br/dir/rsd_2023-09-15_28_02/"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cbr.ru/faq/voprosy-i-otvety-po-kreditnym-kanikulam-dlya-uchastnikov-special-noy-voennoy-operacii/" TargetMode="External"/><Relationship Id="rId5" Type="http://schemas.openxmlformats.org/officeDocument/2006/relationships/customXml" Target="../customXml/item5.xml"/><Relationship Id="rId15" Type="http://schemas.openxmlformats.org/officeDocument/2006/relationships/hyperlink" Target="http://static.government.ru/media/files/YkyUA3X2AwJJ8WZPsCFql8tADOX1fTtX.pdf" TargetMode="External"/><Relationship Id="rId23" Type="http://schemas.openxmlformats.org/officeDocument/2006/relationships/hyperlink" Target="http://www.cbr.ru/finm_infrastructure/nsf_ci/" TargetMode="External"/><Relationship Id="rId28"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www.cbr.ru/about_br/dir/rsd_2023-09-15_28_01/"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kremlin.ru/acts/news/67941" TargetMode="External"/><Relationship Id="rId22" Type="http://schemas.openxmlformats.org/officeDocument/2006/relationships/hyperlink" Target="http://publication.pravo.gov.ru/document/0001202309090001?ysclid=lmivrympu6353283222" TargetMode="External"/><Relationship Id="rId27" Type="http://schemas.openxmlformats.org/officeDocument/2006/relationships/hyperlink" Target="http://www.fincult.info"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a3be5519-78c5-46b9-83d3-815a461591d5">424JPRWHVU2S-363631916-929</_dlc_DocId>
    <_dlc_DocIdUrl xmlns="a3be5519-78c5-46b9-83d3-815a461591d5">
      <Url>https://simr.cbr.ru/sites/ddkp/analytics/regions/_layouts/15/DocIdRedir.aspx?ID=424JPRWHVU2S-363631916-929</Url>
      <Description>424JPRWHVU2S-363631916-929</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Документ" ma:contentTypeID="0x01010050830037C3312C4AAAC06648293C0160" ma:contentTypeVersion="11" ma:contentTypeDescription="Создание документа." ma:contentTypeScope="" ma:versionID="7a10dd4b65b6ff524266bdff49078382">
  <xsd:schema xmlns:xsd="http://www.w3.org/2001/XMLSchema" xmlns:xs="http://www.w3.org/2001/XMLSchema" xmlns:p="http://schemas.microsoft.com/office/2006/metadata/properties" xmlns:ns2="a3be5519-78c5-46b9-83d3-815a461591d5" targetNamespace="http://schemas.microsoft.com/office/2006/metadata/properties" ma:root="true" ma:fieldsID="f1873749d3f3035365117e92a0f0ff59" ns2:_="">
    <xsd:import namespace="a3be5519-78c5-46b9-83d3-815a461591d5"/>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be5519-78c5-46b9-83d3-815a461591d5"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7"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236135-30DC-4E9C-9462-2C73E2B26F2C}">
  <ds:schemaRefs>
    <ds:schemaRef ds:uri="http://schemas.microsoft.com/sharepoint/events"/>
  </ds:schemaRefs>
</ds:datastoreItem>
</file>

<file path=customXml/itemProps2.xml><?xml version="1.0" encoding="utf-8"?>
<ds:datastoreItem xmlns:ds="http://schemas.openxmlformats.org/officeDocument/2006/customXml" ds:itemID="{E0BB9D79-483D-4AF8-B71B-60165B26E3BB}">
  <ds:schemaRefs>
    <ds:schemaRef ds:uri="http://schemas.microsoft.com/sharepoint/v3/contenttype/forms"/>
  </ds:schemaRefs>
</ds:datastoreItem>
</file>

<file path=customXml/itemProps3.xml><?xml version="1.0" encoding="utf-8"?>
<ds:datastoreItem xmlns:ds="http://schemas.openxmlformats.org/officeDocument/2006/customXml" ds:itemID="{CA61A851-7DB0-4464-A9C2-681D0F1FF7CD}">
  <ds:schemaRefs>
    <ds:schemaRef ds:uri="http://schemas.microsoft.com/office/2006/documentManagement/types"/>
    <ds:schemaRef ds:uri="http://purl.org/dc/elements/1.1/"/>
    <ds:schemaRef ds:uri="http://schemas.microsoft.com/office/2006/metadata/properties"/>
    <ds:schemaRef ds:uri="http://schemas.openxmlformats.org/package/2006/metadata/core-properties"/>
    <ds:schemaRef ds:uri="http://purl.org/dc/dcmitype/"/>
    <ds:schemaRef ds:uri="http://purl.org/dc/terms/"/>
    <ds:schemaRef ds:uri="http://schemas.microsoft.com/office/infopath/2007/PartnerControls"/>
    <ds:schemaRef ds:uri="a3be5519-78c5-46b9-83d3-815a461591d5"/>
    <ds:schemaRef ds:uri="http://www.w3.org/XML/1998/namespace"/>
  </ds:schemaRefs>
</ds:datastoreItem>
</file>

<file path=customXml/itemProps4.xml><?xml version="1.0" encoding="utf-8"?>
<ds:datastoreItem xmlns:ds="http://schemas.openxmlformats.org/officeDocument/2006/customXml" ds:itemID="{2B9EEC12-6335-44E8-A721-94464FBF82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be5519-78c5-46b9-83d3-815a461591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8DF856D-20C2-4AA9-B3A3-07AE0CCDB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98</Pages>
  <Words>20152</Words>
  <Characters>114870</Characters>
  <Application>Microsoft Office Word</Application>
  <DocSecurity>0</DocSecurity>
  <Lines>957</Lines>
  <Paragraphs>269</Paragraphs>
  <ScaleCrop>false</ScaleCrop>
  <HeadingPairs>
    <vt:vector size="2" baseType="variant">
      <vt:variant>
        <vt:lpstr>Название</vt:lpstr>
      </vt:variant>
      <vt:variant>
        <vt:i4>1</vt:i4>
      </vt:variant>
    </vt:vector>
  </HeadingPairs>
  <TitlesOfParts>
    <vt:vector size="1" baseType="lpstr">
      <vt:lpstr>Госмеры</vt:lpstr>
    </vt:vector>
  </TitlesOfParts>
  <Company/>
  <LinksUpToDate>false</LinksUpToDate>
  <CharactersWithSpaces>134753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Госмеры</dc:title>
  <dc:subject/>
  <dc:creator>Журавлева Юлия Анатольевна</dc:creator>
  <cp:keywords/>
  <dc:description/>
  <cp:lastModifiedBy>Шитова Оксана Игоревна</cp:lastModifiedBy>
  <cp:revision>2</cp:revision>
  <dcterms:created xsi:type="dcterms:W3CDTF">2024-10-01T06:26:00Z</dcterms:created>
  <dcterms:modified xsi:type="dcterms:W3CDTF">2024-10-01T06:26:00Z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0x01010050830037C3312C4AAAC06648293C0160</vt:lpwstr>
  </property>
  <property fmtid="{D5CDD505-2E9C-101B-9397-08002B2CF9AE}" pid="3" name="_dlc_DocIdItemGuid">
    <vt:lpwstr>78554a5e-46a0-4506-84e0-6e21fc29cdd1</vt:lpwstr>
  </property>
</Properties>
</file>