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0E5" w:rsidRDefault="00DF10E5" w:rsidP="00DF10E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0"/>
        <w:jc w:val="center"/>
        <w:rPr>
          <w:b/>
          <w:color w:val="000000"/>
        </w:rPr>
      </w:pPr>
      <w:bookmarkStart w:id="0" w:name="_gjdgxs" w:colFirst="0" w:colLast="0"/>
      <w:bookmarkStart w:id="1" w:name="_GoBack"/>
      <w:bookmarkEnd w:id="0"/>
      <w:bookmarkEnd w:id="1"/>
      <w:r w:rsidRPr="00DF10E5">
        <w:rPr>
          <w:b/>
          <w:color w:val="000000"/>
        </w:rPr>
        <w:t>Порядок размещения кадровой потребности по целевой квоте</w:t>
      </w:r>
    </w:p>
    <w:p w:rsidR="00DF10E5" w:rsidRPr="00DF10E5" w:rsidRDefault="00DF10E5" w:rsidP="00DF10E5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0"/>
        <w:jc w:val="center"/>
        <w:rPr>
          <w:b/>
          <w:color w:val="000000"/>
        </w:rPr>
      </w:pPr>
    </w:p>
    <w:p w:rsidR="00B668BD" w:rsidRDefault="002F6F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t>Перед началом квотной кампании работодатели получат уведомление на ЕЦП «Работа в России»: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firstLine="709"/>
        <w:rPr>
          <w:color w:val="000000"/>
        </w:rPr>
      </w:pPr>
      <w:r>
        <w:rPr>
          <w:color w:val="000000"/>
        </w:rPr>
        <w:t>С 1 марта 2025 года на портале «Работа России» стартует кампания по подаче заявок на квоту для целевого обучения на 2026 учебный год.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color w:val="000000"/>
        </w:rPr>
      </w:pPr>
      <w:r>
        <w:rPr>
          <w:color w:val="000000"/>
        </w:rPr>
        <w:t>Обращаем ваше внимание, что подача заявок через портал является обязательным условием для получения квоты на целевое обучение!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color w:val="000000"/>
        </w:rPr>
      </w:pPr>
      <w:r>
        <w:rPr>
          <w:color w:val="000000"/>
        </w:rPr>
        <w:t>Если заявка не будет подана в установленный срок (до 1 апреля 2025 года), организация не сможет получить квоту.</w:t>
      </w:r>
    </w:p>
    <w:p w:rsidR="00B668BD" w:rsidRPr="00DF10E5" w:rsidRDefault="002F6F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color w:val="000000"/>
        </w:rPr>
      </w:pPr>
      <w:r>
        <w:rPr>
          <w:color w:val="000000"/>
        </w:rPr>
        <w:t xml:space="preserve">Перед подачей заявки необходимо указать в </w:t>
      </w:r>
      <w:proofErr w:type="gramStart"/>
      <w:r>
        <w:rPr>
          <w:color w:val="000000"/>
        </w:rPr>
        <w:t>профиле</w:t>
      </w:r>
      <w:proofErr w:type="gramEnd"/>
      <w:r>
        <w:rPr>
          <w:color w:val="000000"/>
        </w:rPr>
        <w:t xml:space="preserve"> компании ОКВЭД, форму собственности и категорию заказчика целевого обучения.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color w:val="000000"/>
        </w:rPr>
      </w:pPr>
      <w:r>
        <w:rPr>
          <w:color w:val="000000"/>
        </w:rPr>
        <w:t>Подать заявку могут как заказчики целевого обучения, так и работодатели, не относящиеся к заказчикам целевого обучения.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color w:val="000000"/>
        </w:rPr>
      </w:pPr>
      <w:r>
        <w:rPr>
          <w:color w:val="000000"/>
        </w:rPr>
        <w:t>Подробная информация о порядке подачи заявок и сроках доступна на информационной странице портала.</w:t>
      </w:r>
    </w:p>
    <w:p w:rsidR="00B668BD" w:rsidRDefault="00B668BD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ind w:firstLine="709"/>
        <w:rPr>
          <w:color w:val="000000"/>
        </w:rPr>
      </w:pPr>
    </w:p>
    <w:p w:rsidR="00B668BD" w:rsidRDefault="002F6F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t>Для подачи заявки о кадровой потребности, компаниям необходимо указать в своём профиле:</w:t>
      </w:r>
    </w:p>
    <w:p w:rsidR="00B668BD" w:rsidRDefault="002F6F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ОКВЭД;</w:t>
      </w:r>
    </w:p>
    <w:p w:rsidR="00B668BD" w:rsidRDefault="002F6F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rPr>
          <w:color w:val="000000"/>
        </w:rPr>
        <w:t xml:space="preserve">форму собственности; </w:t>
      </w:r>
    </w:p>
    <w:p w:rsidR="00B668BD" w:rsidRDefault="002F6FF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</w:pPr>
      <w:r>
        <w:rPr>
          <w:color w:val="000000"/>
        </w:rPr>
        <w:t>соответствие компании одной из категорий, указанных в статье 71.1 ФЗ «Об образовании в Российской Федерации» (только для компаний, планирующих выступать заказчиками целевого обучения; для компаний, планирующих выступать исключительно местом осуществления трудовой деятельности гражданина, заполнение не требуется). При указании категории профиль компании направляется в орган СЗН для подтверждения корректности выбора. Об окончании модерации компания получит уведомление.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14420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2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 – Переход на страницу с данными компании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111633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6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2 – Кнопка «Редактировать профиль»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697420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74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3 – Поля в профиле компании, необходимые для подачи заявки о кадровой потребности заказчиками и работодателями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6417310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17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4 – Отметка о соответствии компании одной из категорий, указанных в статье 71.1 ФЗ «Об образовании в Российской Федерации»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6387465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87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5 – Окно выбора одной из категорий, указанных в статье 71.1 ФЗ «Об образовании в Российской Федерации»</w:t>
      </w:r>
    </w:p>
    <w:p w:rsidR="00B668BD" w:rsidRDefault="002F6FF6">
      <w:pPr>
        <w:ind w:left="567" w:firstLine="0"/>
      </w:pPr>
      <w:r>
        <w:br w:type="page"/>
      </w:r>
    </w:p>
    <w:p w:rsidR="00B668BD" w:rsidRDefault="002F6F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lastRenderedPageBreak/>
        <w:t>Заполнение формы заявки о кадровой потребности: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5643245"/>
            <wp:effectExtent l="0" t="0" r="0" b="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43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 xml:space="preserve">6 – Окно выбора роли компании 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rPr>
          <w:color w:val="000000"/>
        </w:rPr>
        <w:t>Если в профиле компании заполнены не все необходимые данные, пользователю отобразится соответствующее информационное сообщение.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5118100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7 – Информационное сообщение для заказчиков, не заполнивших необходимые данные в профиле компании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4612640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12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8 – Информационное сообщение для работодателей, не заполнивших необходимые данные в профиле компании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br w:type="page"/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lastRenderedPageBreak/>
        <w:t>Заполнение заявки заказчиком целевого обучения начинается с блока указания последующего места трудоустройства гражданина. Необходимо выбрать, работодателем будет выступать этот же заказчик целевого обучения или другая компания. Также необходимо указать регион трудоустройства и населённый пункт.</w:t>
      </w:r>
    </w:p>
    <w:p w:rsidR="00B668BD" w:rsidRDefault="00B668BD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72050" cy="4276725"/>
            <wp:effectExtent l="0" t="0" r="0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276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9 – Блок «Последующее трудоустройство граждан», заполнение заказчиком целевого обучения, планирующим трудоустройство граждан в свою компанию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940425" cy="4258310"/>
            <wp:effectExtent l="0" t="0" r="0" b="0"/>
            <wp:docPr id="1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58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10 – Блок «Последующее трудоустройство граждан», заполнение заказчиком целевого обучения, планирующим трудоустройство граждан другую компанию</w:t>
      </w:r>
    </w:p>
    <w:p w:rsidR="00B668BD" w:rsidRDefault="00B668BD"/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40425" cy="1694815"/>
            <wp:effectExtent l="0" t="0" r="0" b="0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948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11 – Окно поиска компании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br w:type="page"/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lastRenderedPageBreak/>
        <w:t>Далее заполняются характеристики обучения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467350" cy="6029325"/>
            <wp:effectExtent l="0" t="0" r="0" b="0"/>
            <wp:docPr id="11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6029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12 – Блок с выбором характеристик обучения необходимых кадров</w:t>
      </w:r>
    </w:p>
    <w:p w:rsidR="00B668BD" w:rsidRDefault="002F6FF6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  <w:r>
        <w:br w:type="page"/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lastRenderedPageBreak/>
        <w:t xml:space="preserve">Последний блок – согласующие центры ответственности. Административный центр ответственности (при его наличии у организации, заполняющей заявку) проставляется автоматически на основании ОКВЭД компании. Отраслевой центр ответственности зависит от ОКВЭД компании, указанной местом трудоустройства, будет </w:t>
      </w:r>
      <w:proofErr w:type="spellStart"/>
      <w:r>
        <w:rPr>
          <w:color w:val="000000"/>
        </w:rPr>
        <w:t>предзаполнен</w:t>
      </w:r>
      <w:proofErr w:type="spellEnd"/>
      <w:r>
        <w:rPr>
          <w:color w:val="000000"/>
        </w:rPr>
        <w:t xml:space="preserve"> не для всех компаний. В случае, если данное поле не </w:t>
      </w:r>
      <w:proofErr w:type="spellStart"/>
      <w:r>
        <w:rPr>
          <w:color w:val="000000"/>
        </w:rPr>
        <w:t>предзаполнено</w:t>
      </w:r>
      <w:proofErr w:type="spellEnd"/>
      <w:r>
        <w:rPr>
          <w:color w:val="000000"/>
        </w:rPr>
        <w:t>, необходим выбор одного из центров ответственности из выпадающего списка. Региональный отраслевой орган проставляется автоматически на основании региона трудоустройства и выбранного отраслевого центра ответственности.</w:t>
      </w:r>
    </w:p>
    <w:p w:rsidR="00B668BD" w:rsidRDefault="00B668BD">
      <w:pPr>
        <w:ind w:left="567" w:firstLine="0"/>
      </w:pP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791200" cy="3619500"/>
            <wp:effectExtent l="0" t="0" r="0" b="0"/>
            <wp:docPr id="1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13 – Блок согласование</w:t>
      </w:r>
    </w:p>
    <w:p w:rsidR="00B668BD" w:rsidRDefault="002F6FF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t>Подача заявки работодателем.</w:t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t>В блоке «Последующее трудоустройство граждан» необходимо выбрать только регион трудоустройства и населенный пункт.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143500" cy="4400550"/>
            <wp:effectExtent l="0" t="0" r="0" b="0"/>
            <wp:docPr id="1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400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14 - Блок «Последующее трудоустройство граждан», заполнение работодателем</w:t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Блок «Характеристики обучения» аналогичен форме, заполняемой заказчиком.</w:t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 w:line="276" w:lineRule="auto"/>
      </w:pPr>
      <w:r>
        <w:rPr>
          <w:color w:val="000000"/>
        </w:rPr>
        <w:t>Блок «Обязательства» для указания мер поддержки гражданам, которые работодатель готов обеспечить за заказчика целевого обучения.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76850" cy="3124200"/>
            <wp:effectExtent l="0" t="0" r="0" b="0"/>
            <wp:docPr id="15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124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15 – Блок «Обязательства»</w:t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</w:pPr>
      <w:r>
        <w:rPr>
          <w:color w:val="000000"/>
        </w:rPr>
        <w:lastRenderedPageBreak/>
        <w:t>Блок выбора заказчика целевого обучения</w:t>
      </w:r>
    </w:p>
    <w:p w:rsidR="00B668BD" w:rsidRDefault="002F6FF6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915025" cy="1943100"/>
            <wp:effectExtent l="0" t="0" r="0" b="0"/>
            <wp:docPr id="16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194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668BD" w:rsidRDefault="002F6F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jc w:val="center"/>
      </w:pPr>
      <w:r>
        <w:rPr>
          <w:b/>
          <w:color w:val="000000"/>
        </w:rPr>
        <w:t>16 – Блок выбора заказчика целевого обучения</w:t>
      </w:r>
    </w:p>
    <w:p w:rsidR="00B668BD" w:rsidRDefault="002F6FF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</w:pPr>
      <w:r>
        <w:rPr>
          <w:color w:val="000000"/>
        </w:rPr>
        <w:t>Блок «Согласование» аналогичен форме, заполняемой заказчиком.</w:t>
      </w:r>
    </w:p>
    <w:p w:rsidR="00B668BD" w:rsidRDefault="00B668BD">
      <w:pPr>
        <w:pBdr>
          <w:top w:val="nil"/>
          <w:left w:val="nil"/>
          <w:bottom w:val="nil"/>
          <w:right w:val="nil"/>
          <w:between w:val="nil"/>
        </w:pBdr>
        <w:spacing w:before="120" w:after="60" w:line="276" w:lineRule="auto"/>
        <w:ind w:firstLine="709"/>
        <w:rPr>
          <w:color w:val="000000"/>
        </w:rPr>
      </w:pPr>
    </w:p>
    <w:p w:rsidR="00B668BD" w:rsidRDefault="00B668BD">
      <w:pPr>
        <w:keepNext/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0"/>
        <w:jc w:val="center"/>
        <w:rPr>
          <w:color w:val="000000"/>
        </w:rPr>
      </w:pPr>
    </w:p>
    <w:p w:rsidR="00B668BD" w:rsidRDefault="00B668BD" w:rsidP="006B089A">
      <w:pPr>
        <w:pBdr>
          <w:top w:val="nil"/>
          <w:left w:val="nil"/>
          <w:bottom w:val="nil"/>
          <w:right w:val="nil"/>
          <w:between w:val="nil"/>
        </w:pBdr>
        <w:spacing w:after="200"/>
        <w:ind w:firstLine="0"/>
        <w:rPr>
          <w:b/>
          <w:color w:val="4472C4"/>
          <w:sz w:val="18"/>
          <w:szCs w:val="18"/>
        </w:rPr>
      </w:pPr>
    </w:p>
    <w:sectPr w:rsidR="00B668B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87E79"/>
    <w:multiLevelType w:val="multilevel"/>
    <w:tmpl w:val="6F92A7DA"/>
    <w:lvl w:ilvl="0">
      <w:start w:val="1"/>
      <w:numFmt w:val="decimal"/>
      <w:lvlText w:val="Рисунок 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4A1D2D"/>
    <w:multiLevelType w:val="multilevel"/>
    <w:tmpl w:val="11EC018E"/>
    <w:lvl w:ilvl="0">
      <w:start w:val="1"/>
      <w:numFmt w:val="bullet"/>
      <w:lvlText w:val="–"/>
      <w:lvlJc w:val="left"/>
      <w:pPr>
        <w:ind w:left="1049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BF6680C"/>
    <w:multiLevelType w:val="multilevel"/>
    <w:tmpl w:val="ADE23328"/>
    <w:lvl w:ilvl="0">
      <w:start w:val="1"/>
      <w:numFmt w:val="decimal"/>
      <w:lvlText w:val="%1."/>
      <w:lvlJc w:val="left"/>
      <w:pPr>
        <w:ind w:left="1134" w:hanging="425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1701" w:hanging="567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410" w:hanging="709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402" w:hanging="992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21" w:hanging="312"/>
      </w:pPr>
    </w:lvl>
    <w:lvl w:ilvl="5">
      <w:start w:val="1"/>
      <w:numFmt w:val="decimal"/>
      <w:lvlText w:val="%1.%2.%3.%4.%5.%6"/>
      <w:lvlJc w:val="left"/>
      <w:pPr>
        <w:ind w:left="1021" w:hanging="312"/>
      </w:pPr>
    </w:lvl>
    <w:lvl w:ilvl="6">
      <w:start w:val="1"/>
      <w:numFmt w:val="decimal"/>
      <w:lvlText w:val="%1.%2.%3.%4.%5.%6.%7"/>
      <w:lvlJc w:val="left"/>
      <w:pPr>
        <w:ind w:left="1021" w:hanging="312"/>
      </w:pPr>
    </w:lvl>
    <w:lvl w:ilvl="7">
      <w:start w:val="1"/>
      <w:numFmt w:val="decimal"/>
      <w:lvlText w:val="%1.%2.%3.%4.%5.%6.%7.%8"/>
      <w:lvlJc w:val="left"/>
      <w:pPr>
        <w:ind w:left="1021" w:hanging="312"/>
      </w:pPr>
    </w:lvl>
    <w:lvl w:ilvl="8">
      <w:start w:val="1"/>
      <w:numFmt w:val="decimal"/>
      <w:lvlText w:val="%1.%2.%3.%4.%5.%6.%7.%8.%9"/>
      <w:lvlJc w:val="left"/>
      <w:pPr>
        <w:ind w:left="1021" w:hanging="312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BD"/>
    <w:rsid w:val="002F6FF6"/>
    <w:rsid w:val="00617BEB"/>
    <w:rsid w:val="006B089A"/>
    <w:rsid w:val="00B668BD"/>
    <w:rsid w:val="00DF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F10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0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pageBreakBefore/>
      <w:pBdr>
        <w:top w:val="nil"/>
        <w:left w:val="nil"/>
        <w:bottom w:val="nil"/>
        <w:right w:val="nil"/>
        <w:between w:val="nil"/>
      </w:pBdr>
      <w:spacing w:before="120" w:after="120"/>
      <w:ind w:firstLine="709"/>
      <w:outlineLvl w:val="0"/>
    </w:pPr>
    <w:rPr>
      <w:b/>
      <w:smallCaps/>
      <w:color w:val="000000"/>
      <w:sz w:val="28"/>
      <w:szCs w:val="2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709"/>
      </w:tabs>
      <w:spacing w:before="60" w:after="60"/>
      <w:ind w:firstLine="709"/>
      <w:outlineLvl w:val="1"/>
    </w:pPr>
    <w:rPr>
      <w:color w:val="000000"/>
      <w:sz w:val="28"/>
      <w:szCs w:val="28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851"/>
        <w:tab w:val="left" w:pos="1701"/>
      </w:tabs>
      <w:spacing w:before="60" w:after="60"/>
      <w:ind w:firstLine="709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2126"/>
      </w:tabs>
      <w:ind w:firstLine="709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843"/>
      </w:tabs>
      <w:ind w:firstLine="709"/>
      <w:outlineLvl w:val="4"/>
    </w:pPr>
    <w:rPr>
      <w:b/>
      <w:color w:val="000000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tabs>
        <w:tab w:val="left" w:pos="1418"/>
        <w:tab w:val="left" w:pos="2127"/>
      </w:tabs>
      <w:ind w:firstLine="709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DF10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0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Шептиенко Марина Владимировна</dc:creator>
  <cp:lastModifiedBy>Даурцева Оксана Федоровна</cp:lastModifiedBy>
  <cp:revision>2</cp:revision>
  <dcterms:created xsi:type="dcterms:W3CDTF">2025-02-17T11:59:00Z</dcterms:created>
  <dcterms:modified xsi:type="dcterms:W3CDTF">2025-02-17T11:59:00Z</dcterms:modified>
</cp:coreProperties>
</file>