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A3" w:rsidRDefault="002F25A3" w:rsidP="002F25A3">
      <w:pPr>
        <w:spacing w:line="360" w:lineRule="auto"/>
        <w:ind w:left="4536" w:firstLine="0"/>
        <w:jc w:val="lef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Приложение</w:t>
      </w:r>
    </w:p>
    <w:p w:rsidR="002F25A3" w:rsidRDefault="002F25A3" w:rsidP="002F25A3">
      <w:pPr>
        <w:spacing w:line="360" w:lineRule="auto"/>
        <w:ind w:left="4536" w:firstLine="0"/>
        <w:jc w:val="left"/>
        <w:rPr>
          <w:sz w:val="28"/>
          <w:szCs w:val="28"/>
          <w:lang w:eastAsia="x-none"/>
        </w:rPr>
      </w:pPr>
      <w:r w:rsidRPr="002F25A3">
        <w:rPr>
          <w:sz w:val="28"/>
          <w:szCs w:val="28"/>
          <w:lang w:eastAsia="x-none"/>
        </w:rPr>
        <w:t>к письму Отделения по Волгоградской области</w:t>
      </w:r>
      <w:r w:rsidRPr="002F25A3">
        <w:t xml:space="preserve"> </w:t>
      </w:r>
      <w:r w:rsidRPr="002F25A3">
        <w:rPr>
          <w:sz w:val="28"/>
          <w:szCs w:val="28"/>
          <w:lang w:eastAsia="x-none"/>
        </w:rPr>
        <w:t>Южного главного управления Центрального банка Российской Федерации «О направлении доклада «Региональная экономика: комментарии ГУ»</w:t>
      </w:r>
    </w:p>
    <w:p w:rsidR="002F25A3" w:rsidRPr="002F25A3" w:rsidRDefault="007A1D5B" w:rsidP="002F25A3">
      <w:pPr>
        <w:spacing w:line="360" w:lineRule="auto"/>
        <w:ind w:left="4536" w:firstLine="0"/>
        <w:jc w:val="lef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от </w:t>
      </w:r>
      <w:r w:rsidR="00452FDC">
        <w:rPr>
          <w:sz w:val="28"/>
          <w:szCs w:val="28"/>
          <w:lang w:eastAsia="x-none"/>
        </w:rPr>
        <w:t>14</w:t>
      </w:r>
      <w:r w:rsidR="00E0672C">
        <w:rPr>
          <w:sz w:val="28"/>
          <w:szCs w:val="28"/>
          <w:lang w:eastAsia="x-none"/>
        </w:rPr>
        <w:t>.</w:t>
      </w:r>
      <w:r w:rsidR="0099140F">
        <w:rPr>
          <w:sz w:val="28"/>
          <w:szCs w:val="28"/>
          <w:lang w:eastAsia="x-none"/>
        </w:rPr>
        <w:t>0</w:t>
      </w:r>
      <w:r w:rsidR="006A1D0B" w:rsidRPr="006A1D0B">
        <w:rPr>
          <w:sz w:val="28"/>
          <w:szCs w:val="28"/>
          <w:lang w:eastAsia="x-none"/>
        </w:rPr>
        <w:t>3</w:t>
      </w:r>
      <w:r w:rsidR="0099140F">
        <w:rPr>
          <w:sz w:val="28"/>
          <w:szCs w:val="28"/>
          <w:lang w:eastAsia="x-none"/>
        </w:rPr>
        <w:t>.2024</w:t>
      </w:r>
      <w:r w:rsidR="002F25A3" w:rsidRPr="002F25A3">
        <w:rPr>
          <w:sz w:val="28"/>
          <w:szCs w:val="28"/>
          <w:lang w:eastAsia="x-none"/>
        </w:rPr>
        <w:t xml:space="preserve"> № Т318-4/</w:t>
      </w:r>
      <w:r w:rsidR="00452FDC">
        <w:rPr>
          <w:sz w:val="28"/>
          <w:szCs w:val="28"/>
          <w:lang w:eastAsia="x-none"/>
        </w:rPr>
        <w:t>1617</w:t>
      </w:r>
      <w:bookmarkStart w:id="0" w:name="_GoBack"/>
      <w:bookmarkEnd w:id="0"/>
    </w:p>
    <w:p w:rsidR="002F25A3" w:rsidRPr="002F25A3" w:rsidRDefault="002F25A3" w:rsidP="002F25A3">
      <w:pPr>
        <w:spacing w:line="360" w:lineRule="auto"/>
        <w:ind w:firstLine="709"/>
        <w:rPr>
          <w:sz w:val="28"/>
          <w:szCs w:val="28"/>
          <w:lang w:eastAsia="x-none"/>
        </w:rPr>
      </w:pPr>
    </w:p>
    <w:p w:rsidR="006A1D0B" w:rsidRPr="006A1D0B" w:rsidRDefault="006A1D0B" w:rsidP="006A1D0B">
      <w:pPr>
        <w:spacing w:line="360" w:lineRule="auto"/>
        <w:ind w:firstLine="709"/>
        <w:rPr>
          <w:sz w:val="28"/>
          <w:szCs w:val="28"/>
          <w:lang w:val="x-none" w:eastAsia="x-none"/>
        </w:rPr>
      </w:pPr>
      <w:r w:rsidRPr="006A1D0B">
        <w:rPr>
          <w:sz w:val="28"/>
          <w:szCs w:val="28"/>
          <w:lang w:val="x-none" w:eastAsia="x-none"/>
        </w:rPr>
        <w:t>Потребительская активность сохранилась вблизи высокого уровня предыдущих месяцев</w:t>
      </w:r>
      <w:r>
        <w:rPr>
          <w:sz w:val="28"/>
          <w:szCs w:val="28"/>
          <w:lang w:eastAsia="x-none"/>
        </w:rPr>
        <w:t xml:space="preserve">. </w:t>
      </w:r>
      <w:r w:rsidRPr="006A1D0B">
        <w:rPr>
          <w:sz w:val="28"/>
          <w:szCs w:val="28"/>
          <w:lang w:val="x-none" w:eastAsia="x-none"/>
        </w:rPr>
        <w:t>Поддержанию повышенного потребительского спроса способствовало увеличение реальных доходов во всех макрорегионах. Рост турпотока стимулировал спрос на услуги общественного питания, гостиниц, транспорта, связи, культуры (подробнее об этом — во врезке «Потребительская активность. Источники роста и структура расходов» стр. 24 доклада).</w:t>
      </w:r>
    </w:p>
    <w:p w:rsidR="006A1D0B" w:rsidRPr="006A1D0B" w:rsidRDefault="006A1D0B" w:rsidP="006A1D0B">
      <w:pPr>
        <w:spacing w:line="360" w:lineRule="auto"/>
        <w:ind w:firstLine="709"/>
        <w:rPr>
          <w:sz w:val="28"/>
          <w:szCs w:val="28"/>
          <w:lang w:val="x-none" w:eastAsia="x-none"/>
        </w:rPr>
      </w:pPr>
      <w:r w:rsidRPr="006A1D0B">
        <w:rPr>
          <w:sz w:val="28"/>
          <w:szCs w:val="28"/>
          <w:lang w:val="x-none" w:eastAsia="x-none"/>
        </w:rPr>
        <w:t>Инфляционное давление было по-прежнему высоким</w:t>
      </w:r>
      <w:r>
        <w:rPr>
          <w:sz w:val="28"/>
          <w:szCs w:val="28"/>
          <w:lang w:eastAsia="x-none"/>
        </w:rPr>
        <w:t xml:space="preserve">. </w:t>
      </w:r>
      <w:r w:rsidRPr="006A1D0B">
        <w:rPr>
          <w:sz w:val="28"/>
          <w:szCs w:val="28"/>
          <w:lang w:val="x-none" w:eastAsia="x-none"/>
        </w:rPr>
        <w:t>Месячные темпы роста потребительских цен в январе практически во всех макрорегионах слабо изменились по сравнению с предыдущим месяцем (с поправкой на сезонность). В основном это является следствием высокого внутреннего спроса, который позволяет компаниям перекладывать в цены рост издержек. Ценовые ожидания предприятий продолжили снижаться.</w:t>
      </w:r>
      <w:r>
        <w:rPr>
          <w:sz w:val="28"/>
          <w:szCs w:val="28"/>
          <w:lang w:eastAsia="x-none"/>
        </w:rPr>
        <w:t xml:space="preserve"> </w:t>
      </w:r>
      <w:r w:rsidRPr="006A1D0B">
        <w:rPr>
          <w:sz w:val="28"/>
          <w:szCs w:val="28"/>
          <w:lang w:val="x-none" w:eastAsia="x-none"/>
        </w:rPr>
        <w:t>Подробнее об этом — в полной версии доклада «Региональная экономика: комментарии ГУ».</w:t>
      </w:r>
    </w:p>
    <w:p w:rsidR="006A1D0B" w:rsidRPr="006A1D0B" w:rsidRDefault="006A1D0B" w:rsidP="006A1D0B">
      <w:pPr>
        <w:spacing w:line="360" w:lineRule="auto"/>
        <w:ind w:firstLine="709"/>
        <w:rPr>
          <w:sz w:val="28"/>
          <w:szCs w:val="28"/>
          <w:lang w:val="x-none" w:eastAsia="x-none"/>
        </w:rPr>
      </w:pPr>
      <w:r w:rsidRPr="006A1D0B">
        <w:rPr>
          <w:sz w:val="28"/>
          <w:szCs w:val="28"/>
          <w:lang w:val="x-none" w:eastAsia="x-none"/>
        </w:rPr>
        <w:t>Экономическая активность в начале года оставалась высокой за счет внутреннего спроса</w:t>
      </w:r>
      <w:r>
        <w:rPr>
          <w:sz w:val="28"/>
          <w:szCs w:val="28"/>
          <w:lang w:eastAsia="x-none"/>
        </w:rPr>
        <w:t xml:space="preserve">. </w:t>
      </w:r>
      <w:r w:rsidRPr="006A1D0B">
        <w:rPr>
          <w:sz w:val="28"/>
          <w:szCs w:val="28"/>
          <w:lang w:val="x-none" w:eastAsia="x-none"/>
        </w:rPr>
        <w:t xml:space="preserve">Вырос выпуск электронной промышленности на Северо-Западе, металлообработки — в Центральной России, автопрома  — в Волго-Вятке, вагоностроения — в Сибири, судостроения — на Дальнем Востоке. Загрузка производственных мощностей в российской экономике находилась на исторических максимумах (подробнее об этом — во врезке «Состояние и </w:t>
      </w:r>
      <w:r w:rsidRPr="006A1D0B">
        <w:rPr>
          <w:sz w:val="28"/>
          <w:szCs w:val="28"/>
          <w:lang w:val="x-none" w:eastAsia="x-none"/>
        </w:rPr>
        <w:lastRenderedPageBreak/>
        <w:t>загрузка производственных мощностей в промышленности и других отраслях» стр. 31 доклада).</w:t>
      </w:r>
    </w:p>
    <w:p w:rsidR="006A1D0B" w:rsidRPr="006A1D0B" w:rsidRDefault="006A1D0B" w:rsidP="006A1D0B">
      <w:pPr>
        <w:spacing w:line="360" w:lineRule="auto"/>
        <w:ind w:firstLine="709"/>
        <w:rPr>
          <w:sz w:val="28"/>
          <w:szCs w:val="28"/>
          <w:lang w:val="x-none" w:eastAsia="x-none"/>
        </w:rPr>
      </w:pPr>
      <w:r w:rsidRPr="006A1D0B">
        <w:rPr>
          <w:sz w:val="28"/>
          <w:szCs w:val="28"/>
          <w:lang w:val="x-none" w:eastAsia="x-none"/>
        </w:rPr>
        <w:t>В то же время, неблагоприятная внешняя конъюнктура и узкие места в транспортной и портовой логистике стали причиной охлаждения деловой активности в отраслях с высокой долей экспорта — нефтегазовой, угольной, металлургической, а также деревообрабатывающей.</w:t>
      </w:r>
    </w:p>
    <w:p w:rsidR="006A1D0B" w:rsidRPr="006A1D0B" w:rsidRDefault="006A1D0B" w:rsidP="006A1D0B">
      <w:pPr>
        <w:spacing w:line="360" w:lineRule="auto"/>
        <w:ind w:firstLine="709"/>
        <w:rPr>
          <w:sz w:val="28"/>
          <w:szCs w:val="28"/>
          <w:lang w:val="x-none" w:eastAsia="x-none"/>
        </w:rPr>
      </w:pPr>
      <w:r w:rsidRPr="006A1D0B">
        <w:rPr>
          <w:sz w:val="28"/>
          <w:szCs w:val="28"/>
          <w:lang w:val="x-none" w:eastAsia="x-none"/>
        </w:rPr>
        <w:t>Российский автомобильный рынок адаптируется к новым условиям, продажи в начале 2024 года вернулись к уровню IV квартала 2021 года (подробнее об этом — во врезке «Отраслевой вопрос. Рынок легковых автомобилей» стр. 39 доклада).</w:t>
      </w:r>
    </w:p>
    <w:p w:rsidR="0099140F" w:rsidRPr="006A1D0B" w:rsidRDefault="006A1D0B" w:rsidP="006A1D0B">
      <w:pPr>
        <w:spacing w:line="360" w:lineRule="auto"/>
        <w:ind w:firstLine="709"/>
        <w:rPr>
          <w:sz w:val="28"/>
          <w:szCs w:val="28"/>
          <w:lang w:eastAsia="x-none"/>
        </w:rPr>
      </w:pPr>
      <w:r w:rsidRPr="006A1D0B">
        <w:rPr>
          <w:sz w:val="28"/>
          <w:szCs w:val="28"/>
          <w:lang w:val="x-none" w:eastAsia="x-none"/>
        </w:rPr>
        <w:t>Денежно-кредитные условия продолжили ужесточаться, усиливая склонность населения к сбережению</w:t>
      </w:r>
      <w:r>
        <w:rPr>
          <w:sz w:val="28"/>
          <w:szCs w:val="28"/>
          <w:lang w:eastAsia="x-none"/>
        </w:rPr>
        <w:t xml:space="preserve">. </w:t>
      </w:r>
      <w:r w:rsidRPr="006A1D0B">
        <w:rPr>
          <w:sz w:val="28"/>
          <w:szCs w:val="28"/>
          <w:lang w:val="x-none" w:eastAsia="x-none"/>
        </w:rPr>
        <w:t>Признаки перехода населения к сберегательной модели поведения проявлялись в замедлении розничного кредитования и стабильном притоке средств населения на срочные депозиты.</w:t>
      </w:r>
    </w:p>
    <w:p w:rsidR="006A1D0B" w:rsidRDefault="006A1D0B" w:rsidP="0099140F">
      <w:pPr>
        <w:spacing w:line="360" w:lineRule="auto"/>
        <w:ind w:firstLine="709"/>
        <w:rPr>
          <w:sz w:val="28"/>
          <w:szCs w:val="28"/>
          <w:lang w:val="x-none" w:eastAsia="x-none"/>
        </w:rPr>
      </w:pPr>
    </w:p>
    <w:p w:rsidR="006A1D0B" w:rsidRDefault="006A1D0B" w:rsidP="006A1D0B">
      <w:pPr>
        <w:spacing w:line="360" w:lineRule="auto"/>
        <w:ind w:firstLine="709"/>
        <w:rPr>
          <w:sz w:val="28"/>
          <w:szCs w:val="28"/>
          <w:lang w:val="x-none" w:eastAsia="x-none"/>
        </w:rPr>
      </w:pPr>
      <w:r w:rsidRPr="006A1D0B">
        <w:rPr>
          <w:sz w:val="28"/>
          <w:szCs w:val="28"/>
          <w:lang w:val="x-none" w:eastAsia="x-none"/>
        </w:rPr>
        <w:t>Годовая инфляция в январе 2024 года, %</w:t>
      </w:r>
    </w:p>
    <w:p w:rsidR="0099140F" w:rsidRPr="0099140F" w:rsidRDefault="006A1D0B" w:rsidP="0099140F">
      <w:pPr>
        <w:spacing w:line="360" w:lineRule="auto"/>
        <w:ind w:firstLine="0"/>
        <w:rPr>
          <w:sz w:val="28"/>
          <w:szCs w:val="28"/>
          <w:lang w:val="x-none" w:eastAsia="x-none"/>
        </w:rPr>
      </w:pPr>
      <w:r>
        <w:rPr>
          <w:noProof/>
          <w:lang w:eastAsia="ru-RU"/>
        </w:rPr>
        <w:drawing>
          <wp:inline distT="0" distB="0" distL="0" distR="0">
            <wp:extent cx="5940425" cy="4112602"/>
            <wp:effectExtent l="0" t="0" r="3175" b="2540"/>
            <wp:docPr id="1" name="Рисунок 1" descr="http://www.cbr.ru/StaticHtml/File/159637/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br.ru/StaticHtml/File/159637/01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D0B" w:rsidRPr="006A1D0B" w:rsidRDefault="006A1D0B" w:rsidP="006A1D0B">
      <w:pPr>
        <w:spacing w:line="360" w:lineRule="auto"/>
        <w:ind w:firstLine="709"/>
        <w:rPr>
          <w:i/>
          <w:szCs w:val="24"/>
          <w:lang w:val="x-none" w:eastAsia="x-none"/>
        </w:rPr>
      </w:pPr>
      <w:r w:rsidRPr="006A1D0B">
        <w:rPr>
          <w:i/>
          <w:szCs w:val="24"/>
          <w:lang w:val="x-none" w:eastAsia="x-none"/>
        </w:rPr>
        <w:lastRenderedPageBreak/>
        <w:t>Примечание. Линиями на карте разделены регионы присутствия ГУ Банка России.</w:t>
      </w:r>
    </w:p>
    <w:p w:rsidR="006A1D0B" w:rsidRPr="006A1D0B" w:rsidRDefault="006A1D0B" w:rsidP="006A1D0B">
      <w:pPr>
        <w:spacing w:line="360" w:lineRule="auto"/>
        <w:ind w:firstLine="709"/>
        <w:rPr>
          <w:i/>
          <w:szCs w:val="24"/>
          <w:lang w:val="x-none" w:eastAsia="x-none"/>
        </w:rPr>
      </w:pPr>
      <w:r w:rsidRPr="006A1D0B">
        <w:rPr>
          <w:i/>
          <w:szCs w:val="24"/>
          <w:lang w:val="x-none" w:eastAsia="x-none"/>
        </w:rPr>
        <w:t>Официальная статистическая информация по основным показателям социально-экономического положения субъектов Российской Федерации публикуется без учета статистической информации по Донецкой Народной Республике (ДНР), Луганской Народной Республике (ЛНР), Запорожской и Херсонской областям.</w:t>
      </w:r>
    </w:p>
    <w:p w:rsidR="00EF793B" w:rsidRDefault="006A1D0B" w:rsidP="006A1D0B">
      <w:pPr>
        <w:spacing w:line="360" w:lineRule="auto"/>
        <w:ind w:firstLine="709"/>
        <w:rPr>
          <w:i/>
          <w:szCs w:val="24"/>
          <w:lang w:val="x-none" w:eastAsia="x-none"/>
        </w:rPr>
      </w:pPr>
      <w:r w:rsidRPr="006A1D0B">
        <w:rPr>
          <w:i/>
          <w:szCs w:val="24"/>
          <w:lang w:val="x-none" w:eastAsia="x-none"/>
        </w:rPr>
        <w:t>Источник: Росстат.</w:t>
      </w:r>
    </w:p>
    <w:p w:rsidR="006A1D0B" w:rsidRPr="00EF793B" w:rsidRDefault="006A1D0B" w:rsidP="006A1D0B">
      <w:pPr>
        <w:spacing w:line="360" w:lineRule="auto"/>
        <w:ind w:firstLine="709"/>
        <w:rPr>
          <w:sz w:val="28"/>
          <w:szCs w:val="28"/>
          <w:lang w:val="x-none" w:eastAsia="x-none"/>
        </w:rPr>
      </w:pPr>
      <w:r w:rsidRPr="006A1D0B">
        <w:rPr>
          <w:noProof/>
          <w:sz w:val="28"/>
          <w:szCs w:val="28"/>
          <w:lang w:eastAsia="ru-RU"/>
        </w:rPr>
        <w:drawing>
          <wp:inline distT="0" distB="0" distL="0" distR="0">
            <wp:extent cx="1466595" cy="1432560"/>
            <wp:effectExtent l="0" t="0" r="635" b="0"/>
            <wp:docPr id="3" name="Рисунок 3" descr="S:\REA\!Информационная политика\!Рег.Экономика\2024\Март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REA\!Информационная политика\!Рег.Экономика\2024\Март\Q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3" t="16165"/>
                    <a:stretch/>
                  </pic:blipFill>
                  <pic:spPr bwMode="auto">
                    <a:xfrm>
                      <a:off x="0" y="0"/>
                      <a:ext cx="1470529" cy="143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D5B" w:rsidRPr="00EF793B" w:rsidRDefault="007A1D5B" w:rsidP="00EF793B">
      <w:pPr>
        <w:spacing w:line="360" w:lineRule="auto"/>
        <w:ind w:firstLine="709"/>
        <w:rPr>
          <w:sz w:val="28"/>
          <w:szCs w:val="28"/>
          <w:lang w:val="x-none" w:eastAsia="x-none"/>
        </w:rPr>
      </w:pPr>
    </w:p>
    <w:p w:rsidR="001B7101" w:rsidRDefault="001B7101" w:rsidP="00C64100">
      <w:pPr>
        <w:spacing w:line="360" w:lineRule="auto"/>
        <w:ind w:firstLine="709"/>
        <w:jc w:val="left"/>
        <w:rPr>
          <w:sz w:val="28"/>
          <w:szCs w:val="28"/>
          <w:lang w:val="x-none" w:eastAsia="x-none"/>
        </w:rPr>
      </w:pPr>
    </w:p>
    <w:p w:rsidR="00EF793B" w:rsidRPr="00EF793B" w:rsidRDefault="00EF793B" w:rsidP="00C64100">
      <w:pPr>
        <w:spacing w:line="360" w:lineRule="auto"/>
        <w:ind w:firstLine="709"/>
        <w:jc w:val="left"/>
        <w:rPr>
          <w:sz w:val="28"/>
          <w:szCs w:val="28"/>
          <w:lang w:val="x-none" w:eastAsia="x-none"/>
        </w:rPr>
      </w:pPr>
    </w:p>
    <w:sectPr w:rsidR="00EF793B" w:rsidRPr="00EF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A3"/>
    <w:rsid w:val="001B7101"/>
    <w:rsid w:val="002B4A79"/>
    <w:rsid w:val="002F25A3"/>
    <w:rsid w:val="00413FC7"/>
    <w:rsid w:val="00452FDC"/>
    <w:rsid w:val="004D0679"/>
    <w:rsid w:val="005F4BBD"/>
    <w:rsid w:val="00645AF0"/>
    <w:rsid w:val="006A1D0B"/>
    <w:rsid w:val="00784494"/>
    <w:rsid w:val="007A1D5B"/>
    <w:rsid w:val="007B4FB1"/>
    <w:rsid w:val="0099140F"/>
    <w:rsid w:val="00C64100"/>
    <w:rsid w:val="00D17EF3"/>
    <w:rsid w:val="00E0672C"/>
    <w:rsid w:val="00E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BF2D"/>
  <w15:chartTrackingRefBased/>
  <w15:docId w15:val="{4151E04E-CF6B-4209-914A-F53A0C31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A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69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1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57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32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94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12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44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59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5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72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0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9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2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8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88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28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35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7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10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3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8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1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46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0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9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7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8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14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3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3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92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004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40906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694219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88561">
          <w:marLeft w:val="0"/>
          <w:marRight w:val="0"/>
          <w:marTop w:val="0"/>
          <w:marBottom w:val="0"/>
          <w:divBdr>
            <w:top w:val="single" w:sz="24" w:space="0" w:color="ED1A3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Шитова Оксана Игоревна</dc:creator>
  <cp:keywords/>
  <dc:description/>
  <cp:lastModifiedBy>Шитова Оксана Игоревна</cp:lastModifiedBy>
  <cp:revision>14</cp:revision>
  <dcterms:created xsi:type="dcterms:W3CDTF">2023-07-14T09:25:00Z</dcterms:created>
  <dcterms:modified xsi:type="dcterms:W3CDTF">2024-03-14T12:30:00Z</dcterms:modified>
</cp:coreProperties>
</file>