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D90" w:rsidRDefault="00F56D90" w:rsidP="00F56D90">
      <w:pPr>
        <w:spacing w:line="360" w:lineRule="auto"/>
        <w:ind w:left="4536" w:firstLine="0"/>
        <w:jc w:val="left"/>
        <w:rPr>
          <w:sz w:val="28"/>
          <w:szCs w:val="28"/>
          <w:lang w:eastAsia="x-none"/>
        </w:rPr>
      </w:pPr>
      <w:r>
        <w:rPr>
          <w:sz w:val="28"/>
          <w:szCs w:val="28"/>
          <w:lang w:eastAsia="x-none"/>
        </w:rPr>
        <w:t>Приложение</w:t>
      </w:r>
    </w:p>
    <w:p w:rsidR="00F56D90" w:rsidRDefault="00F56D90" w:rsidP="00F56D90">
      <w:pPr>
        <w:spacing w:line="360" w:lineRule="auto"/>
        <w:ind w:left="4536" w:firstLine="0"/>
        <w:jc w:val="left"/>
        <w:rPr>
          <w:sz w:val="28"/>
          <w:szCs w:val="28"/>
          <w:lang w:eastAsia="x-none"/>
        </w:rPr>
      </w:pPr>
      <w:r w:rsidRPr="002F25A3">
        <w:rPr>
          <w:sz w:val="28"/>
          <w:szCs w:val="28"/>
          <w:lang w:eastAsia="x-none"/>
        </w:rPr>
        <w:t>к письму Отделения по Волгоградской области</w:t>
      </w:r>
      <w:r w:rsidRPr="002F25A3">
        <w:t xml:space="preserve"> </w:t>
      </w:r>
      <w:r w:rsidRPr="002F25A3">
        <w:rPr>
          <w:sz w:val="28"/>
          <w:szCs w:val="28"/>
          <w:lang w:eastAsia="x-none"/>
        </w:rPr>
        <w:t>Южного главного управления Центрального банка Российской Федерации «О направлении доклада «Региональная экономика: комментарии ГУ»</w:t>
      </w:r>
    </w:p>
    <w:p w:rsidR="00F56D90" w:rsidRPr="00F56D90" w:rsidRDefault="00F56D90" w:rsidP="00F56D90">
      <w:pPr>
        <w:spacing w:line="360" w:lineRule="auto"/>
        <w:ind w:firstLine="426"/>
        <w:rPr>
          <w:i/>
          <w:szCs w:val="24"/>
          <w:lang w:eastAsia="x-none"/>
        </w:rPr>
      </w:pP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>Инфляция поддерживается высоким внутренним спросом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>Месячный рост цен с сезонной корректировкой в декабре 2024 года ускорился и, по оперативным данным, в январе 2025 года инфляционное давление оставалось высоким. Высокий внутренний спрос дает возможность производителям переносить рост издержек в цены, но из-за ряда ограничивающих факторов это происходит не сразу. Это приводит к длительному сохранению ценовых ожиданий на повышенном уровне (подробнее об этом – во врезке «Цены производителей и ценов</w:t>
      </w:r>
      <w:r>
        <w:rPr>
          <w:sz w:val="28"/>
          <w:szCs w:val="28"/>
          <w:lang w:val="x-none" w:eastAsia="x-none"/>
        </w:rPr>
        <w:t>ые ожидания», стр. 24 доклада).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>По опросу Банка России, индикаторы деловой активности указывают на продолжение роста при постепенном его замедлении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>Предприятия отдельных секторов промышленности и строительства отметили снижение объемов производства и спроса на внутреннем рынке. Об этом, в частности, сообщали застройщики на Юге и Дальнем Востоке, предприятия нефтегазовой отрасли на Урале. Замедление спроса и снижение ожиданий на будущее в строительстве оказали влияние на снижение темпов увеличения продаж стройматериалов и сокращение спроса на спецтехнику (подробнее об этом — во врезке «Отраслевой вопрос. Рынок стройматериалов и спецтехники» стр. 39 доклада). Безработица остается на минимальном уровне, а спрос на персонал — на исторически высоком (подробнее об этом — во врезке «Состояние рынка труда и производительность труда: ограничения и возмож</w:t>
      </w:r>
      <w:r>
        <w:rPr>
          <w:sz w:val="28"/>
          <w:szCs w:val="28"/>
          <w:lang w:val="x-none" w:eastAsia="x-none"/>
        </w:rPr>
        <w:t>ности роста», стр. 32 доклада).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lastRenderedPageBreak/>
        <w:t>Потребительская активность по сегментам и регионам менялась разнонаправленно, оставаясь высокой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 xml:space="preserve">Почти во всех регионах рос оборот общественного питания, во многих случаях – за счет увеличения турпотока. Устойчивый спрос со стороны населения стимулировал увеличение производства потребительских товаров, в частности одежды в Центральной России, мебели в Волго-Вятке, </w:t>
      </w:r>
      <w:proofErr w:type="spellStart"/>
      <w:r w:rsidRPr="00F56D90">
        <w:rPr>
          <w:sz w:val="28"/>
          <w:szCs w:val="28"/>
          <w:lang w:val="x-none" w:eastAsia="x-none"/>
        </w:rPr>
        <w:t>фармпрепаратов</w:t>
      </w:r>
      <w:proofErr w:type="spellEnd"/>
      <w:r w:rsidRPr="00F56D90">
        <w:rPr>
          <w:sz w:val="28"/>
          <w:szCs w:val="28"/>
          <w:lang w:val="x-none" w:eastAsia="x-none"/>
        </w:rPr>
        <w:t xml:space="preserve"> на Северо-Западе, молочной продукции на Юге и мясной – в Сибири. В то же время в ряде регионов предприятия отмечали некоторое снижение продаж т</w:t>
      </w:r>
      <w:r>
        <w:rPr>
          <w:sz w:val="28"/>
          <w:szCs w:val="28"/>
          <w:lang w:val="x-none" w:eastAsia="x-none"/>
        </w:rPr>
        <w:t>оваров длительного пользования.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>Подробнее об этом — в полной версии доклада «Региональ</w:t>
      </w:r>
      <w:r>
        <w:rPr>
          <w:sz w:val="28"/>
          <w:szCs w:val="28"/>
          <w:lang w:val="x-none" w:eastAsia="x-none"/>
        </w:rPr>
        <w:t>ная экономика: комментарии ГУ».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>Годовой рост розничного кредитования замедлился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 xml:space="preserve">Спрос на кредиты со стороны предприятий снижался менее заметно, чем в розничном сегменте, в том числе из-за сохранения потребности в оборотном капитале. Потребительское кредитование продолжало сокращаться из-за ужесточения ценовых и неценовых условий. Доля рыночной ипотеки снижалась, в том числе за счет увеличения </w:t>
      </w:r>
      <w:r>
        <w:rPr>
          <w:sz w:val="28"/>
          <w:szCs w:val="28"/>
          <w:lang w:val="x-none" w:eastAsia="x-none"/>
        </w:rPr>
        <w:t>лимитов по льготным программам.</w:t>
      </w:r>
    </w:p>
    <w:p w:rsid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sz w:val="28"/>
          <w:szCs w:val="28"/>
          <w:lang w:val="x-none" w:eastAsia="x-none"/>
        </w:rPr>
        <w:t>Годовая инфляция в декабре 2024 года, %</w:t>
      </w:r>
    </w:p>
    <w:p w:rsidR="00F56D90" w:rsidRPr="00F56D90" w:rsidRDefault="00F56D90" w:rsidP="00F56D90">
      <w:pPr>
        <w:spacing w:line="360" w:lineRule="auto"/>
        <w:ind w:firstLine="426"/>
        <w:rPr>
          <w:sz w:val="28"/>
          <w:szCs w:val="28"/>
          <w:lang w:val="x-none" w:eastAsia="x-none"/>
        </w:rPr>
      </w:pPr>
      <w:r w:rsidRPr="00F56D90">
        <w:rPr>
          <w:noProof/>
          <w:sz w:val="28"/>
          <w:szCs w:val="28"/>
          <w:lang w:eastAsia="ru-RU"/>
        </w:rPr>
        <w:drawing>
          <wp:inline distT="0" distB="0" distL="0" distR="0">
            <wp:extent cx="4471458" cy="3095625"/>
            <wp:effectExtent l="0" t="0" r="5715" b="0"/>
            <wp:docPr id="2" name="Рисунок 2" descr="S:\REA\!Региональный экономический анализ\Рассылка аналитических материалов\2025\06 февраля\Приложения\1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REA\!Региональный экономический анализ\Рассылка аналитических материалов\2025\06 февраля\Приложения\1224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2798" cy="3103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56D90" w:rsidRPr="00F56D90" w:rsidRDefault="00F56D90" w:rsidP="00F56D90">
      <w:pPr>
        <w:spacing w:line="360" w:lineRule="auto"/>
        <w:ind w:firstLine="0"/>
        <w:rPr>
          <w:i/>
          <w:szCs w:val="24"/>
          <w:lang w:val="x-none" w:eastAsia="x-none"/>
        </w:rPr>
      </w:pPr>
    </w:p>
    <w:p w:rsidR="00F56D90" w:rsidRPr="00F56D90" w:rsidRDefault="00F56D90" w:rsidP="00F56D90">
      <w:pPr>
        <w:spacing w:line="360" w:lineRule="auto"/>
        <w:ind w:firstLine="426"/>
        <w:rPr>
          <w:i/>
          <w:szCs w:val="24"/>
          <w:lang w:val="x-none" w:eastAsia="x-none"/>
        </w:rPr>
      </w:pPr>
      <w:r w:rsidRPr="00F56D90">
        <w:rPr>
          <w:i/>
          <w:szCs w:val="24"/>
          <w:lang w:val="x-none" w:eastAsia="x-none"/>
        </w:rPr>
        <w:t>Примечание. Линиями на карте разделены регионы присутствия ГУ Банка России.</w:t>
      </w:r>
    </w:p>
    <w:p w:rsidR="00F56D90" w:rsidRPr="00F56D90" w:rsidRDefault="00F56D90" w:rsidP="00F56D90">
      <w:pPr>
        <w:spacing w:line="360" w:lineRule="auto"/>
        <w:ind w:firstLine="426"/>
        <w:rPr>
          <w:i/>
          <w:szCs w:val="24"/>
          <w:lang w:val="x-none" w:eastAsia="x-none"/>
        </w:rPr>
      </w:pPr>
      <w:r w:rsidRPr="00F56D90">
        <w:rPr>
          <w:i/>
          <w:szCs w:val="24"/>
          <w:lang w:val="x-none" w:eastAsia="x-none"/>
        </w:rPr>
        <w:lastRenderedPageBreak/>
        <w:t>Официальная статистическая информация по основным показателям социально-экономического положения субъектов Российской Федерации публикуется без учета статистической информации по Донецкой Народной Республике (ДНР), Луганской Народной Республике (ЛНР), Запорожской и Херсонской областям.</w:t>
      </w:r>
    </w:p>
    <w:p w:rsidR="00F56D90" w:rsidRDefault="00F56D90" w:rsidP="00F56D90">
      <w:pPr>
        <w:spacing w:line="360" w:lineRule="auto"/>
        <w:ind w:firstLine="426"/>
        <w:rPr>
          <w:i/>
          <w:szCs w:val="24"/>
          <w:lang w:val="x-none" w:eastAsia="x-none"/>
        </w:rPr>
      </w:pPr>
      <w:r w:rsidRPr="00F56D90">
        <w:rPr>
          <w:i/>
          <w:szCs w:val="24"/>
          <w:lang w:val="x-none" w:eastAsia="x-none"/>
        </w:rPr>
        <w:t>Источник: Росстат.</w:t>
      </w:r>
    </w:p>
    <w:p w:rsidR="00F56D90" w:rsidRDefault="00F56D90" w:rsidP="00F56D90">
      <w:pPr>
        <w:spacing w:line="360" w:lineRule="auto"/>
        <w:ind w:firstLine="426"/>
        <w:rPr>
          <w:i/>
          <w:szCs w:val="24"/>
          <w:lang w:val="x-none" w:eastAsia="x-none"/>
        </w:rPr>
      </w:pPr>
    </w:p>
    <w:p w:rsidR="00F56D90" w:rsidRPr="00F56D90" w:rsidRDefault="00F56D90" w:rsidP="00F56D90">
      <w:pPr>
        <w:spacing w:line="360" w:lineRule="auto"/>
        <w:ind w:firstLine="426"/>
        <w:rPr>
          <w:b/>
          <w:i/>
          <w:sz w:val="28"/>
          <w:szCs w:val="28"/>
          <w:lang w:val="x-none" w:eastAsia="x-none"/>
        </w:rPr>
      </w:pPr>
      <w:r w:rsidRPr="00F56D90">
        <w:rPr>
          <w:b/>
          <w:i/>
          <w:sz w:val="28"/>
          <w:szCs w:val="28"/>
          <w:lang w:val="x-none" w:eastAsia="x-none"/>
        </w:rPr>
        <w:t>http://www.cbr.ru/analytics/dkp/reg_review/0225/</w:t>
      </w:r>
    </w:p>
    <w:sectPr w:rsidR="00F56D90" w:rsidRPr="00F56D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5A3"/>
    <w:rsid w:val="000F2BF5"/>
    <w:rsid w:val="001B7101"/>
    <w:rsid w:val="002B4A79"/>
    <w:rsid w:val="002F25A3"/>
    <w:rsid w:val="00413FC7"/>
    <w:rsid w:val="00466F40"/>
    <w:rsid w:val="004D0679"/>
    <w:rsid w:val="00507E16"/>
    <w:rsid w:val="005F4BBD"/>
    <w:rsid w:val="00645AF0"/>
    <w:rsid w:val="006A1D0B"/>
    <w:rsid w:val="00784494"/>
    <w:rsid w:val="007A1D5B"/>
    <w:rsid w:val="007B4FB1"/>
    <w:rsid w:val="007C0CCC"/>
    <w:rsid w:val="00824BF0"/>
    <w:rsid w:val="008271A0"/>
    <w:rsid w:val="0099140F"/>
    <w:rsid w:val="009F2361"/>
    <w:rsid w:val="00A0436D"/>
    <w:rsid w:val="00A16F54"/>
    <w:rsid w:val="00B2004D"/>
    <w:rsid w:val="00C64100"/>
    <w:rsid w:val="00CF2660"/>
    <w:rsid w:val="00D17EF3"/>
    <w:rsid w:val="00E44B77"/>
    <w:rsid w:val="00EF793B"/>
    <w:rsid w:val="00F5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9B1BB"/>
  <w15:chartTrackingRefBased/>
  <w15:docId w15:val="{4151E04E-CF6B-4209-914A-F53A0C313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6D90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236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CF2660"/>
    <w:pPr>
      <w:spacing w:before="100" w:beforeAutospacing="1" w:after="100" w:afterAutospacing="1"/>
      <w:ind w:firstLine="0"/>
      <w:jc w:val="left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CF266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referenceable">
    <w:name w:val="referenceable"/>
    <w:basedOn w:val="a0"/>
    <w:rsid w:val="00CF2660"/>
  </w:style>
  <w:style w:type="character" w:customStyle="1" w:styleId="20">
    <w:name w:val="Заголовок 2 Знак"/>
    <w:basedOn w:val="a0"/>
    <w:link w:val="2"/>
    <w:uiPriority w:val="9"/>
    <w:semiHidden/>
    <w:rsid w:val="009F236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1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53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30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40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920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722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693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2754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629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533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66931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1100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1574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23226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44940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2124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8447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28593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6920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752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46728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807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2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1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22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77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52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208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686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952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5823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5128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38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84258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235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6692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05619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3048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1755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8654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2771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40187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0957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1105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13089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04078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3491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8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47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8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11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81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114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248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6358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8893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2024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6882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90284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2848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32825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6888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375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5288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50353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8336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7378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235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2119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17094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87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051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5294576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35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9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7838589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8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20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2874489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11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136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4081397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9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894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65254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13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6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33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310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355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865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147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56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8476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888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6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89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777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643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2741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320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0855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781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0342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47104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1832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66542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684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418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3104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91462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6727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7500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68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9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29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705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81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14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5825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4562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7656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255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60801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4299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875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5783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4140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3395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5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2432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38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0130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54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246080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49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94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32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46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9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20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34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423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620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120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9788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2501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1911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053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3469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90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6849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4122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23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81149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6571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2001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414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9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90929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89004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8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0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0840906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54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92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0694219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62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26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1188561">
          <w:marLeft w:val="0"/>
          <w:marRight w:val="0"/>
          <w:marTop w:val="0"/>
          <w:marBottom w:val="0"/>
          <w:divBdr>
            <w:top w:val="single" w:sz="24" w:space="0" w:color="ED1A34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060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66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Шитова Оксана Игоревна</dc:creator>
  <cp:keywords/>
  <dc:description/>
  <cp:lastModifiedBy>Конина Екатерина Ивановна</cp:lastModifiedBy>
  <cp:revision>2</cp:revision>
  <dcterms:created xsi:type="dcterms:W3CDTF">2025-02-06T08:22:00Z</dcterms:created>
  <dcterms:modified xsi:type="dcterms:W3CDTF">2025-02-06T08:22:00Z</dcterms:modified>
</cp:coreProperties>
</file>